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B5" w:rsidRPr="00FB383F" w:rsidRDefault="00472EB5" w:rsidP="00472EB5">
      <w:pPr>
        <w:pStyle w:val="a3"/>
        <w:rPr>
          <w:rFonts w:ascii="Arial" w:hAnsi="Arial" w:cs="Arial"/>
          <w:b/>
          <w:lang w:val="el-GR"/>
        </w:rPr>
      </w:pPr>
      <w:r w:rsidRPr="00FB383F">
        <w:rPr>
          <w:rFonts w:ascii="Arial" w:hAnsi="Arial" w:cs="Arial"/>
          <w:b/>
          <w:lang w:val="el-GR"/>
        </w:rPr>
        <w:t>ΕΛΛΗΝΙΚΗ ΔΗΜΟΚΡΑΤΙΑ</w:t>
      </w:r>
    </w:p>
    <w:p w:rsidR="00472EB5" w:rsidRPr="00FB383F" w:rsidRDefault="00472EB5" w:rsidP="00472EB5">
      <w:pPr>
        <w:pStyle w:val="a3"/>
        <w:rPr>
          <w:rFonts w:ascii="Arial" w:hAnsi="Arial" w:cs="Arial"/>
          <w:b/>
          <w:lang w:val="el-GR"/>
        </w:rPr>
      </w:pPr>
      <w:r w:rsidRPr="00FB383F">
        <w:rPr>
          <w:rFonts w:ascii="Arial" w:hAnsi="Arial" w:cs="Arial"/>
          <w:b/>
          <w:lang w:val="el-GR"/>
        </w:rPr>
        <w:t>ΥΠΟΥΡΓΕΙΟ ΟΙΚΟΝΟΜΙΚΩΝ</w:t>
      </w:r>
    </w:p>
    <w:p w:rsidR="00472EB5" w:rsidRPr="00FB383F" w:rsidRDefault="00472EB5" w:rsidP="00472EB5">
      <w:pPr>
        <w:pStyle w:val="a3"/>
        <w:rPr>
          <w:rFonts w:ascii="Arial" w:hAnsi="Arial" w:cs="Arial"/>
          <w:b/>
          <w:lang w:val="el-GR"/>
        </w:rPr>
      </w:pPr>
      <w:r w:rsidRPr="00FB383F">
        <w:rPr>
          <w:rFonts w:ascii="Arial" w:hAnsi="Arial" w:cs="Arial"/>
          <w:b/>
          <w:lang w:val="el-GR"/>
        </w:rPr>
        <w:t>ΕΠΙΤΡΟΠΗ ΑΝΑΛΟΓΙΣΤΙΚΩΝ ΕΞΕΤΑΣΕΩΝ</w:t>
      </w:r>
    </w:p>
    <w:p w:rsidR="00472EB5" w:rsidRPr="00FB383F" w:rsidRDefault="00472EB5" w:rsidP="00472EB5">
      <w:pPr>
        <w:pStyle w:val="a3"/>
        <w:rPr>
          <w:rFonts w:ascii="Arial" w:hAnsi="Arial" w:cs="Arial"/>
          <w:b/>
          <w:lang w:val="el-GR"/>
        </w:rPr>
      </w:pPr>
    </w:p>
    <w:p w:rsidR="00472EB5" w:rsidRPr="00FB383F" w:rsidRDefault="00472EB5" w:rsidP="00472EB5">
      <w:pPr>
        <w:pStyle w:val="a3"/>
        <w:rPr>
          <w:rFonts w:ascii="Arial" w:hAnsi="Arial" w:cs="Arial"/>
          <w:b/>
          <w:lang w:val="el-GR"/>
        </w:rPr>
      </w:pPr>
    </w:p>
    <w:p w:rsidR="00472EB5" w:rsidRPr="00FB383F" w:rsidRDefault="00472EB5" w:rsidP="00472EB5">
      <w:pPr>
        <w:pStyle w:val="a3"/>
        <w:rPr>
          <w:rFonts w:ascii="Arial" w:hAnsi="Arial" w:cs="Arial"/>
          <w:b/>
          <w:lang w:val="el-GR"/>
        </w:rPr>
      </w:pPr>
    </w:p>
    <w:p w:rsidR="00472EB5" w:rsidRPr="00FB383F" w:rsidRDefault="00472EB5" w:rsidP="00472EB5">
      <w:pPr>
        <w:pStyle w:val="a3"/>
        <w:rPr>
          <w:rFonts w:ascii="Arial" w:hAnsi="Arial" w:cs="Arial"/>
          <w:b/>
          <w:lang w:val="el-GR"/>
        </w:rPr>
      </w:pPr>
    </w:p>
    <w:p w:rsidR="00472EB5" w:rsidRPr="00FB383F" w:rsidRDefault="00472EB5" w:rsidP="00472EB5">
      <w:pPr>
        <w:pStyle w:val="a3"/>
        <w:rPr>
          <w:rFonts w:ascii="Arial" w:hAnsi="Arial" w:cs="Arial"/>
          <w:b/>
          <w:lang w:val="el-GR"/>
        </w:rPr>
      </w:pPr>
    </w:p>
    <w:p w:rsidR="00472EB5" w:rsidRPr="00FB383F" w:rsidRDefault="00472EB5" w:rsidP="00472EB5">
      <w:pPr>
        <w:pStyle w:val="a3"/>
        <w:rPr>
          <w:rFonts w:ascii="Arial" w:hAnsi="Arial" w:cs="Arial"/>
          <w:b/>
          <w:lang w:val="el-GR"/>
        </w:rPr>
      </w:pPr>
    </w:p>
    <w:p w:rsidR="00472EB5" w:rsidRPr="00FB383F" w:rsidRDefault="00472EB5" w:rsidP="00472EB5">
      <w:pPr>
        <w:pStyle w:val="a3"/>
        <w:rPr>
          <w:rFonts w:ascii="Arial" w:hAnsi="Arial" w:cs="Arial"/>
          <w:b/>
          <w:lang w:val="el-GR"/>
        </w:rPr>
      </w:pPr>
    </w:p>
    <w:p w:rsidR="00472EB5" w:rsidRPr="00FB383F" w:rsidRDefault="00472EB5" w:rsidP="00472EB5">
      <w:pPr>
        <w:pStyle w:val="a3"/>
        <w:rPr>
          <w:rFonts w:ascii="Arial" w:hAnsi="Arial" w:cs="Arial"/>
          <w:b/>
          <w:lang w:val="el-GR"/>
        </w:rPr>
      </w:pPr>
    </w:p>
    <w:p w:rsidR="00472EB5" w:rsidRPr="00FB383F" w:rsidRDefault="00472EB5" w:rsidP="00472EB5">
      <w:pPr>
        <w:pStyle w:val="a3"/>
        <w:rPr>
          <w:rFonts w:ascii="Arial" w:hAnsi="Arial" w:cs="Arial"/>
          <w:b/>
          <w:lang w:val="el-GR"/>
        </w:rPr>
      </w:pPr>
    </w:p>
    <w:p w:rsidR="00472EB5" w:rsidRPr="00FB383F" w:rsidRDefault="00472EB5" w:rsidP="00472EB5">
      <w:pPr>
        <w:pStyle w:val="a3"/>
        <w:rPr>
          <w:rFonts w:ascii="Arial" w:hAnsi="Arial" w:cs="Arial"/>
          <w:b/>
          <w:lang w:val="el-GR"/>
        </w:rPr>
      </w:pPr>
    </w:p>
    <w:p w:rsidR="00472EB5" w:rsidRPr="00FB383F" w:rsidRDefault="00472EB5" w:rsidP="00472EB5">
      <w:pPr>
        <w:pStyle w:val="a3"/>
        <w:rPr>
          <w:rFonts w:ascii="Arial" w:hAnsi="Arial" w:cs="Arial"/>
          <w:b/>
          <w:lang w:val="el-GR"/>
        </w:rPr>
      </w:pPr>
    </w:p>
    <w:p w:rsidR="00472EB5" w:rsidRPr="00FB383F" w:rsidRDefault="00472EB5" w:rsidP="00472EB5">
      <w:pPr>
        <w:pStyle w:val="a3"/>
        <w:jc w:val="center"/>
        <w:rPr>
          <w:rFonts w:ascii="Arial" w:hAnsi="Arial" w:cs="Arial"/>
          <w:b/>
          <w:lang w:val="el-GR"/>
        </w:rPr>
      </w:pPr>
      <w:r w:rsidRPr="00FB383F">
        <w:rPr>
          <w:rFonts w:ascii="Arial" w:hAnsi="Arial" w:cs="Arial"/>
          <w:b/>
          <w:lang w:val="el-GR"/>
        </w:rPr>
        <w:t>ΕΞΕΤΑΣΤΙΚΗ ΠΕΡΙΟΔΟΣ</w:t>
      </w:r>
    </w:p>
    <w:p w:rsidR="00472EB5" w:rsidRPr="00FB383F" w:rsidRDefault="00472EB5" w:rsidP="00472EB5">
      <w:pPr>
        <w:pStyle w:val="a3"/>
        <w:jc w:val="center"/>
        <w:rPr>
          <w:rFonts w:ascii="Arial" w:hAnsi="Arial" w:cs="Arial"/>
          <w:b/>
          <w:lang w:val="el-GR"/>
        </w:rPr>
      </w:pPr>
      <w:r w:rsidRPr="00FB383F">
        <w:rPr>
          <w:rFonts w:ascii="Arial" w:hAnsi="Arial" w:cs="Arial"/>
          <w:b/>
          <w:lang w:val="el-GR"/>
        </w:rPr>
        <w:t>ΙΑΝΟΥΑΡΙΟΥ 201</w:t>
      </w:r>
      <w:r w:rsidR="00893342" w:rsidRPr="00FB383F">
        <w:rPr>
          <w:rFonts w:ascii="Arial" w:hAnsi="Arial" w:cs="Arial"/>
          <w:b/>
          <w:lang w:val="el-GR"/>
        </w:rPr>
        <w:t>4</w:t>
      </w:r>
    </w:p>
    <w:p w:rsidR="00472EB5" w:rsidRPr="00FB383F" w:rsidRDefault="00472EB5" w:rsidP="00472EB5">
      <w:pPr>
        <w:pStyle w:val="a3"/>
        <w:jc w:val="center"/>
        <w:rPr>
          <w:rFonts w:ascii="Arial" w:hAnsi="Arial" w:cs="Arial"/>
          <w:b/>
          <w:lang w:val="el-GR"/>
        </w:rPr>
      </w:pPr>
    </w:p>
    <w:p w:rsidR="00472EB5" w:rsidRPr="00FB383F" w:rsidRDefault="00472EB5" w:rsidP="00472EB5">
      <w:pPr>
        <w:pStyle w:val="a3"/>
        <w:jc w:val="center"/>
        <w:rPr>
          <w:rFonts w:ascii="Arial" w:hAnsi="Arial" w:cs="Arial"/>
          <w:b/>
          <w:lang w:val="el-GR"/>
        </w:rPr>
      </w:pPr>
      <w:r w:rsidRPr="00FB383F">
        <w:rPr>
          <w:rFonts w:ascii="Arial" w:hAnsi="Arial" w:cs="Arial"/>
          <w:b/>
          <w:lang w:val="el-GR"/>
        </w:rPr>
        <w:t>ΣΥΝΤΑΞΙΟΔΟΤΙΚΑ ΣΧΗΜΑΤΑ ΚΑΙ ΚΟΙΝΩΝΙΚΗ ΑΣΦΑΛΙΣΗ</w:t>
      </w:r>
    </w:p>
    <w:p w:rsidR="00472EB5" w:rsidRPr="00FB383F" w:rsidRDefault="00893342" w:rsidP="00472EB5">
      <w:pPr>
        <w:pStyle w:val="a3"/>
        <w:jc w:val="center"/>
        <w:rPr>
          <w:rFonts w:ascii="Arial" w:hAnsi="Arial" w:cs="Arial"/>
          <w:b/>
          <w:lang w:val="el-GR"/>
        </w:rPr>
      </w:pPr>
      <w:r w:rsidRPr="00FB383F">
        <w:rPr>
          <w:rFonts w:ascii="Arial" w:hAnsi="Arial" w:cs="Arial"/>
          <w:b/>
          <w:lang w:val="el-GR"/>
        </w:rPr>
        <w:t>12</w:t>
      </w:r>
      <w:r w:rsidR="00472EB5" w:rsidRPr="00FB383F">
        <w:rPr>
          <w:rFonts w:ascii="Arial" w:hAnsi="Arial" w:cs="Arial"/>
          <w:b/>
          <w:lang w:val="el-GR"/>
        </w:rPr>
        <w:t xml:space="preserve"> ΦΕΒΡΟΥΑΡΙΟΥ 201</w:t>
      </w:r>
      <w:r w:rsidRPr="00FB383F">
        <w:rPr>
          <w:rFonts w:ascii="Arial" w:hAnsi="Arial" w:cs="Arial"/>
          <w:b/>
          <w:lang w:val="el-GR"/>
        </w:rPr>
        <w:t>4</w:t>
      </w:r>
    </w:p>
    <w:p w:rsidR="00472EB5" w:rsidRPr="00FB383F" w:rsidRDefault="00472EB5" w:rsidP="00472EB5">
      <w:pPr>
        <w:pStyle w:val="a3"/>
        <w:jc w:val="center"/>
        <w:rPr>
          <w:rFonts w:ascii="Arial" w:hAnsi="Arial" w:cs="Arial"/>
          <w:b/>
          <w:lang w:val="el-GR"/>
        </w:rPr>
      </w:pPr>
    </w:p>
    <w:p w:rsidR="00472EB5" w:rsidRPr="00FB383F" w:rsidRDefault="00472EB5" w:rsidP="00472EB5">
      <w:pPr>
        <w:pStyle w:val="a3"/>
        <w:jc w:val="center"/>
        <w:rPr>
          <w:rFonts w:ascii="Arial" w:hAnsi="Arial" w:cs="Arial"/>
          <w:b/>
          <w:lang w:val="el-GR"/>
        </w:rPr>
      </w:pPr>
    </w:p>
    <w:p w:rsidR="00472EB5" w:rsidRPr="00FB383F" w:rsidRDefault="00472EB5" w:rsidP="00472EB5">
      <w:pPr>
        <w:pStyle w:val="a3"/>
        <w:jc w:val="center"/>
        <w:rPr>
          <w:rFonts w:ascii="Arial" w:hAnsi="Arial" w:cs="Arial"/>
          <w:b/>
          <w:lang w:val="el-GR"/>
        </w:rPr>
      </w:pPr>
    </w:p>
    <w:p w:rsidR="00472EB5" w:rsidRPr="00FB383F" w:rsidRDefault="00472EB5" w:rsidP="00472EB5">
      <w:pPr>
        <w:pStyle w:val="a3"/>
        <w:jc w:val="center"/>
        <w:rPr>
          <w:rFonts w:ascii="Arial" w:hAnsi="Arial" w:cs="Arial"/>
          <w:b/>
          <w:lang w:val="el-GR"/>
        </w:rPr>
      </w:pPr>
    </w:p>
    <w:p w:rsidR="00472EB5" w:rsidRPr="00FB383F" w:rsidRDefault="00472EB5" w:rsidP="00472EB5">
      <w:pPr>
        <w:pStyle w:val="a3"/>
        <w:jc w:val="center"/>
        <w:rPr>
          <w:rFonts w:ascii="Arial" w:hAnsi="Arial" w:cs="Arial"/>
          <w:b/>
          <w:lang w:val="el-GR"/>
        </w:rPr>
      </w:pPr>
    </w:p>
    <w:p w:rsidR="00472EB5" w:rsidRPr="00FB383F" w:rsidRDefault="00472EB5" w:rsidP="00472EB5">
      <w:pPr>
        <w:pStyle w:val="a3"/>
        <w:jc w:val="center"/>
        <w:rPr>
          <w:rFonts w:ascii="Arial" w:hAnsi="Arial" w:cs="Arial"/>
          <w:b/>
          <w:lang w:val="el-GR"/>
        </w:rPr>
      </w:pPr>
    </w:p>
    <w:p w:rsidR="00472EB5" w:rsidRPr="00FB383F" w:rsidRDefault="00472EB5" w:rsidP="00472EB5">
      <w:pPr>
        <w:pStyle w:val="a3"/>
        <w:jc w:val="center"/>
        <w:rPr>
          <w:rFonts w:ascii="Arial" w:hAnsi="Arial" w:cs="Arial"/>
          <w:b/>
          <w:lang w:val="el-GR"/>
        </w:rPr>
      </w:pPr>
    </w:p>
    <w:p w:rsidR="00472EB5" w:rsidRPr="00FB383F" w:rsidRDefault="00472EB5" w:rsidP="00472EB5">
      <w:pPr>
        <w:pStyle w:val="a3"/>
        <w:jc w:val="center"/>
        <w:rPr>
          <w:rFonts w:ascii="Arial" w:hAnsi="Arial" w:cs="Arial"/>
          <w:b/>
          <w:lang w:val="el-GR"/>
        </w:rPr>
      </w:pPr>
    </w:p>
    <w:p w:rsidR="00472EB5" w:rsidRPr="00FB383F" w:rsidRDefault="00472EB5" w:rsidP="00472EB5">
      <w:pPr>
        <w:pStyle w:val="a3"/>
        <w:jc w:val="center"/>
        <w:rPr>
          <w:rFonts w:ascii="Arial" w:hAnsi="Arial" w:cs="Arial"/>
          <w:b/>
          <w:lang w:val="el-GR"/>
        </w:rPr>
      </w:pPr>
    </w:p>
    <w:p w:rsidR="00472EB5" w:rsidRPr="00FB383F" w:rsidRDefault="00472EB5" w:rsidP="00472EB5">
      <w:pPr>
        <w:pStyle w:val="a3"/>
        <w:jc w:val="center"/>
        <w:rPr>
          <w:rFonts w:ascii="Arial" w:hAnsi="Arial" w:cs="Arial"/>
          <w:b/>
          <w:lang w:val="el-GR"/>
        </w:rPr>
      </w:pPr>
      <w:bookmarkStart w:id="0" w:name="_GoBack"/>
      <w:bookmarkEnd w:id="0"/>
    </w:p>
    <w:p w:rsidR="00472EB5" w:rsidRPr="00FB383F" w:rsidRDefault="00472EB5" w:rsidP="00472EB5">
      <w:pPr>
        <w:pStyle w:val="a3"/>
        <w:jc w:val="center"/>
        <w:rPr>
          <w:rFonts w:ascii="Arial" w:hAnsi="Arial" w:cs="Arial"/>
          <w:b/>
          <w:lang w:val="el-GR"/>
        </w:rPr>
      </w:pPr>
    </w:p>
    <w:p w:rsidR="00472EB5" w:rsidRPr="00FB383F" w:rsidRDefault="00472EB5" w:rsidP="00472EB5">
      <w:pPr>
        <w:pStyle w:val="a3"/>
        <w:jc w:val="center"/>
        <w:rPr>
          <w:rFonts w:ascii="Arial" w:hAnsi="Arial" w:cs="Arial"/>
          <w:b/>
          <w:lang w:val="el-GR"/>
        </w:rPr>
      </w:pPr>
    </w:p>
    <w:p w:rsidR="00472EB5" w:rsidRPr="00FB383F" w:rsidRDefault="00472EB5" w:rsidP="00472EB5">
      <w:pPr>
        <w:pStyle w:val="a3"/>
        <w:jc w:val="center"/>
        <w:rPr>
          <w:rFonts w:ascii="Arial" w:hAnsi="Arial" w:cs="Arial"/>
          <w:b/>
          <w:lang w:val="el-GR"/>
        </w:rPr>
      </w:pPr>
    </w:p>
    <w:p w:rsidR="00472EB5" w:rsidRPr="00FB383F" w:rsidRDefault="00472EB5" w:rsidP="00472EB5">
      <w:pPr>
        <w:pStyle w:val="a3"/>
        <w:jc w:val="center"/>
        <w:rPr>
          <w:rFonts w:ascii="Arial" w:hAnsi="Arial" w:cs="Arial"/>
          <w:b/>
          <w:lang w:val="el-GR"/>
        </w:rPr>
      </w:pPr>
    </w:p>
    <w:p w:rsidR="00472EB5" w:rsidRPr="00FB383F" w:rsidRDefault="00D9000B" w:rsidP="00472EB5">
      <w:pPr>
        <w:pStyle w:val="a3"/>
        <w:jc w:val="center"/>
        <w:rPr>
          <w:rFonts w:ascii="Arial" w:hAnsi="Arial" w:cs="Arial"/>
          <w:b/>
          <w:lang w:val="el-GR"/>
        </w:rPr>
      </w:pPr>
      <w:r w:rsidRPr="00FB383F">
        <w:rPr>
          <w:rFonts w:ascii="Arial" w:hAnsi="Arial" w:cs="Arial"/>
          <w:b/>
          <w:lang w:val="el-GR"/>
        </w:rPr>
        <w:t>ΠΡΩ</w:t>
      </w:r>
      <w:r w:rsidR="00472EB5" w:rsidRPr="00FB383F">
        <w:rPr>
          <w:rFonts w:ascii="Arial" w:hAnsi="Arial" w:cs="Arial"/>
          <w:b/>
          <w:lang w:val="el-GR"/>
        </w:rPr>
        <w:t>ΙΝΗ ΕΞΕΤΑΣΗ (</w:t>
      </w:r>
      <w:r w:rsidRPr="00FB383F">
        <w:rPr>
          <w:rFonts w:ascii="Arial" w:hAnsi="Arial" w:cs="Arial"/>
          <w:b/>
          <w:lang w:val="el-GR"/>
        </w:rPr>
        <w:t>09:00 – 11</w:t>
      </w:r>
      <w:r w:rsidR="00472EB5" w:rsidRPr="00FB383F">
        <w:rPr>
          <w:rFonts w:ascii="Arial" w:hAnsi="Arial" w:cs="Arial"/>
          <w:b/>
          <w:lang w:val="el-GR"/>
        </w:rPr>
        <w:t>:00)</w:t>
      </w:r>
    </w:p>
    <w:p w:rsidR="00826AA9" w:rsidRPr="00FE33EA" w:rsidRDefault="00472EB5" w:rsidP="00D9000B">
      <w:pPr>
        <w:rPr>
          <w:rFonts w:ascii="Arial" w:hAnsi="Arial" w:cs="Arial"/>
          <w:highlight w:val="yellow"/>
          <w:lang w:val="el-GR"/>
        </w:rPr>
      </w:pPr>
      <w:r w:rsidRPr="00FE33EA">
        <w:rPr>
          <w:rFonts w:ascii="Arial" w:hAnsi="Arial" w:cs="Arial"/>
          <w:highlight w:val="yellow"/>
          <w:lang w:val="el-GR"/>
        </w:rPr>
        <w:br w:type="page"/>
      </w:r>
    </w:p>
    <w:p w:rsidR="0047026D" w:rsidRPr="00FE33EA" w:rsidRDefault="0047026D" w:rsidP="00D9000B">
      <w:pPr>
        <w:rPr>
          <w:rFonts w:ascii="Arial" w:hAnsi="Arial" w:cs="Arial"/>
          <w:i/>
          <w:lang w:val="el-GR"/>
        </w:rPr>
      </w:pPr>
      <w:r w:rsidRPr="00FE33EA">
        <w:rPr>
          <w:rFonts w:ascii="Arial" w:hAnsi="Arial" w:cs="Arial"/>
          <w:i/>
          <w:lang w:val="el-GR"/>
        </w:rPr>
        <w:lastRenderedPageBreak/>
        <w:t>Στις ασκήσεις που χρειάζεται να γίνει χρήση απλού τόκου</w:t>
      </w:r>
    </w:p>
    <w:p w:rsidR="0047026D" w:rsidRPr="00FE33EA" w:rsidRDefault="0047026D" w:rsidP="00D9000B">
      <w:pPr>
        <w:rPr>
          <w:rFonts w:ascii="Arial" w:hAnsi="Arial" w:cs="Arial"/>
          <w:highlight w:val="yellow"/>
          <w:lang w:val="el-GR"/>
        </w:rPr>
      </w:pPr>
    </w:p>
    <w:p w:rsidR="00893342" w:rsidRPr="00FE33EA" w:rsidRDefault="00893342" w:rsidP="00606D98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 xml:space="preserve">Σε συνταξιοδοτικό σχήμα όπου εφαρμόζεται η Aggregate την 1/1/2009 η περιουσία ισούται προς €500.000, η μέση ράντα προς 6 και η παρούσα αξία των μελλοντικών παροχών προς €2.000.000, €400.000 από την οποία αφορούν σε μελλοντικές παροχές εργαζομένων που έχουν αποχωρήσει (vested). Ποιά η επιβάρυνση στο κανονικό κόστος την 1/1/2009 εάν οι εργαζόμενοι λάβουν αύξηση 5%;  </w:t>
      </w:r>
    </w:p>
    <w:p w:rsidR="00893342" w:rsidRPr="00FE33EA" w:rsidRDefault="00893342" w:rsidP="00606D98">
      <w:pPr>
        <w:pStyle w:val="a7"/>
        <w:numPr>
          <w:ilvl w:val="0"/>
          <w:numId w:val="2"/>
        </w:numPr>
        <w:spacing w:after="12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20.000</w:t>
      </w:r>
    </w:p>
    <w:p w:rsidR="00893342" w:rsidRPr="00FE33EA" w:rsidRDefault="00893342" w:rsidP="00606D98">
      <w:pPr>
        <w:pStyle w:val="a7"/>
        <w:numPr>
          <w:ilvl w:val="0"/>
          <w:numId w:val="2"/>
        </w:numPr>
        <w:spacing w:after="12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16.667</w:t>
      </w:r>
    </w:p>
    <w:p w:rsidR="00893342" w:rsidRPr="00FE33EA" w:rsidRDefault="00893342" w:rsidP="00606D98">
      <w:pPr>
        <w:pStyle w:val="a7"/>
        <w:numPr>
          <w:ilvl w:val="0"/>
          <w:numId w:val="2"/>
        </w:numPr>
        <w:spacing w:after="12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13.333</w:t>
      </w:r>
    </w:p>
    <w:p w:rsidR="00893342" w:rsidRPr="00FE33EA" w:rsidRDefault="00893342" w:rsidP="00606D98">
      <w:pPr>
        <w:pStyle w:val="a7"/>
        <w:numPr>
          <w:ilvl w:val="0"/>
          <w:numId w:val="2"/>
        </w:numPr>
        <w:spacing w:after="12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12.500</w:t>
      </w:r>
    </w:p>
    <w:p w:rsidR="00893342" w:rsidRPr="00FE33EA" w:rsidRDefault="00893342" w:rsidP="00606D98">
      <w:pPr>
        <w:pStyle w:val="a7"/>
        <w:numPr>
          <w:ilvl w:val="0"/>
          <w:numId w:val="2"/>
        </w:numPr>
        <w:spacing w:after="12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 xml:space="preserve">  9.167 </w:t>
      </w:r>
    </w:p>
    <w:p w:rsidR="00893342" w:rsidRPr="00FE33EA" w:rsidRDefault="00893342" w:rsidP="00893342">
      <w:pPr>
        <w:pStyle w:val="a7"/>
        <w:rPr>
          <w:rFonts w:ascii="Arial" w:hAnsi="Arial" w:cs="Arial"/>
          <w:lang w:val="el-GR"/>
        </w:rPr>
      </w:pPr>
    </w:p>
    <w:p w:rsidR="00893342" w:rsidRPr="00FE33EA" w:rsidRDefault="00893342" w:rsidP="00606D98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 xml:space="preserve">Τα περιουσιακά στοιχεία συνταξιοδοτικού σχήματος την 1/1/2005 είναι όπως παρακάτω (ποσά σε €):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985"/>
        <w:gridCol w:w="1843"/>
      </w:tblGrid>
      <w:tr w:rsidR="00893342" w:rsidRPr="00FE33EA" w:rsidTr="003D3916">
        <w:tc>
          <w:tcPr>
            <w:tcW w:w="2835" w:type="dxa"/>
          </w:tcPr>
          <w:p w:rsidR="00893342" w:rsidRPr="00FE33EA" w:rsidRDefault="00893342" w:rsidP="003D3916">
            <w:pPr>
              <w:pStyle w:val="a3"/>
              <w:spacing w:after="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985" w:type="dxa"/>
          </w:tcPr>
          <w:p w:rsidR="00893342" w:rsidRPr="00FE33EA" w:rsidRDefault="00893342" w:rsidP="003D3916">
            <w:pPr>
              <w:pStyle w:val="a3"/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Λογαριασμός Α</w:t>
            </w:r>
          </w:p>
        </w:tc>
        <w:tc>
          <w:tcPr>
            <w:tcW w:w="1843" w:type="dxa"/>
          </w:tcPr>
          <w:p w:rsidR="00893342" w:rsidRPr="00FE33EA" w:rsidRDefault="00893342" w:rsidP="003D3916">
            <w:pPr>
              <w:pStyle w:val="a3"/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Λογαριασμός Β</w:t>
            </w:r>
          </w:p>
        </w:tc>
      </w:tr>
      <w:tr w:rsidR="00893342" w:rsidRPr="00FE33EA" w:rsidTr="003D3916">
        <w:tc>
          <w:tcPr>
            <w:tcW w:w="2835" w:type="dxa"/>
          </w:tcPr>
          <w:p w:rsidR="00893342" w:rsidRPr="00FE33EA" w:rsidRDefault="00893342" w:rsidP="003D3916">
            <w:pPr>
              <w:pStyle w:val="a3"/>
              <w:spacing w:after="0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Αξία Περιουσίας 1/1/2005</w:t>
            </w:r>
          </w:p>
        </w:tc>
        <w:tc>
          <w:tcPr>
            <w:tcW w:w="1985" w:type="dxa"/>
          </w:tcPr>
          <w:p w:rsidR="00893342" w:rsidRPr="00FE33EA" w:rsidRDefault="00893342" w:rsidP="003D3916">
            <w:pPr>
              <w:pStyle w:val="a3"/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1.000</w:t>
            </w:r>
          </w:p>
        </w:tc>
        <w:tc>
          <w:tcPr>
            <w:tcW w:w="1843" w:type="dxa"/>
          </w:tcPr>
          <w:p w:rsidR="00893342" w:rsidRPr="00FE33EA" w:rsidRDefault="00893342" w:rsidP="003D3916">
            <w:pPr>
              <w:pStyle w:val="a3"/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1.000</w:t>
            </w:r>
          </w:p>
        </w:tc>
      </w:tr>
      <w:tr w:rsidR="00893342" w:rsidRPr="00FE33EA" w:rsidTr="003D3916">
        <w:tc>
          <w:tcPr>
            <w:tcW w:w="2835" w:type="dxa"/>
          </w:tcPr>
          <w:p w:rsidR="00893342" w:rsidRPr="00FE33EA" w:rsidRDefault="00893342" w:rsidP="003D3916">
            <w:pPr>
              <w:pStyle w:val="a3"/>
              <w:spacing w:after="0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Αξία Περιουσίας 1/3/2005</w:t>
            </w:r>
          </w:p>
        </w:tc>
        <w:tc>
          <w:tcPr>
            <w:tcW w:w="1985" w:type="dxa"/>
          </w:tcPr>
          <w:p w:rsidR="00893342" w:rsidRPr="00FE33EA" w:rsidRDefault="00893342" w:rsidP="003D3916">
            <w:pPr>
              <w:pStyle w:val="a3"/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1.100</w:t>
            </w:r>
          </w:p>
        </w:tc>
        <w:tc>
          <w:tcPr>
            <w:tcW w:w="1843" w:type="dxa"/>
          </w:tcPr>
          <w:p w:rsidR="00893342" w:rsidRPr="00FE33EA" w:rsidRDefault="00893342" w:rsidP="003D3916">
            <w:pPr>
              <w:pStyle w:val="a3"/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1.100</w:t>
            </w:r>
          </w:p>
        </w:tc>
      </w:tr>
      <w:tr w:rsidR="00893342" w:rsidRPr="00FE33EA" w:rsidTr="003D3916">
        <w:tc>
          <w:tcPr>
            <w:tcW w:w="2835" w:type="dxa"/>
          </w:tcPr>
          <w:p w:rsidR="00893342" w:rsidRPr="00FE33EA" w:rsidRDefault="00893342" w:rsidP="003D3916">
            <w:pPr>
              <w:pStyle w:val="a3"/>
              <w:spacing w:after="0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Εισφορά 1/7/2005</w:t>
            </w:r>
          </w:p>
        </w:tc>
        <w:tc>
          <w:tcPr>
            <w:tcW w:w="1985" w:type="dxa"/>
          </w:tcPr>
          <w:p w:rsidR="00893342" w:rsidRPr="00FE33EA" w:rsidRDefault="00893342" w:rsidP="003D3916">
            <w:pPr>
              <w:pStyle w:val="a3"/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0</w:t>
            </w:r>
          </w:p>
        </w:tc>
        <w:tc>
          <w:tcPr>
            <w:tcW w:w="1843" w:type="dxa"/>
          </w:tcPr>
          <w:p w:rsidR="00893342" w:rsidRPr="00FE33EA" w:rsidRDefault="00893342" w:rsidP="003D3916">
            <w:pPr>
              <w:pStyle w:val="a3"/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1.000</w:t>
            </w:r>
          </w:p>
        </w:tc>
      </w:tr>
      <w:tr w:rsidR="00893342" w:rsidRPr="00FE33EA" w:rsidTr="003D3916">
        <w:tc>
          <w:tcPr>
            <w:tcW w:w="2835" w:type="dxa"/>
          </w:tcPr>
          <w:p w:rsidR="00893342" w:rsidRPr="00FE33EA" w:rsidRDefault="00893342" w:rsidP="003D3916">
            <w:pPr>
              <w:pStyle w:val="a3"/>
              <w:spacing w:after="0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Αξία Περιουσίας 1/7/2005 (συμπεριλαμβανομένης της εισφοράς)</w:t>
            </w:r>
          </w:p>
        </w:tc>
        <w:tc>
          <w:tcPr>
            <w:tcW w:w="1985" w:type="dxa"/>
          </w:tcPr>
          <w:p w:rsidR="00893342" w:rsidRPr="00FE33EA" w:rsidRDefault="00893342" w:rsidP="003D3916">
            <w:pPr>
              <w:pStyle w:val="a3"/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990</w:t>
            </w:r>
          </w:p>
        </w:tc>
        <w:tc>
          <w:tcPr>
            <w:tcW w:w="1843" w:type="dxa"/>
          </w:tcPr>
          <w:p w:rsidR="00893342" w:rsidRPr="00FE33EA" w:rsidRDefault="00893342" w:rsidP="003D3916">
            <w:pPr>
              <w:pStyle w:val="a3"/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1.990</w:t>
            </w:r>
          </w:p>
        </w:tc>
      </w:tr>
      <w:tr w:rsidR="00893342" w:rsidRPr="00FE33EA" w:rsidTr="003D3916">
        <w:tc>
          <w:tcPr>
            <w:tcW w:w="2835" w:type="dxa"/>
          </w:tcPr>
          <w:p w:rsidR="00893342" w:rsidRPr="00FE33EA" w:rsidRDefault="00893342" w:rsidP="003D3916">
            <w:pPr>
              <w:pStyle w:val="a3"/>
              <w:spacing w:after="0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Αξία Περιουσίας 1/1/2006</w:t>
            </w:r>
          </w:p>
        </w:tc>
        <w:tc>
          <w:tcPr>
            <w:tcW w:w="1985" w:type="dxa"/>
          </w:tcPr>
          <w:p w:rsidR="00893342" w:rsidRPr="00FE33EA" w:rsidRDefault="00893342" w:rsidP="003D3916">
            <w:pPr>
              <w:pStyle w:val="a3"/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1.089</w:t>
            </w:r>
          </w:p>
        </w:tc>
        <w:tc>
          <w:tcPr>
            <w:tcW w:w="1843" w:type="dxa"/>
          </w:tcPr>
          <w:p w:rsidR="00893342" w:rsidRPr="00FE33EA" w:rsidRDefault="00893342" w:rsidP="003D3916">
            <w:pPr>
              <w:pStyle w:val="a3"/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2.189</w:t>
            </w:r>
          </w:p>
        </w:tc>
      </w:tr>
    </w:tbl>
    <w:p w:rsidR="00893342" w:rsidRPr="00FE33EA" w:rsidRDefault="00893342" w:rsidP="00893342">
      <w:pPr>
        <w:pStyle w:val="a3"/>
        <w:rPr>
          <w:rFonts w:ascii="Arial" w:hAnsi="Arial" w:cs="Arial"/>
          <w:lang w:val="el-GR"/>
        </w:rPr>
      </w:pPr>
    </w:p>
    <w:p w:rsidR="00893342" w:rsidRPr="00FE33EA" w:rsidRDefault="00893342" w:rsidP="00893342">
      <w:pPr>
        <w:pStyle w:val="a3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Δεδομένου ότι δεν έχει γίνει εκταμίευση από κανένα λογαριασμό, ποιο από τα παρακάτω αληθεύει για την χρήση του 2005;</w:t>
      </w:r>
    </w:p>
    <w:p w:rsidR="00893342" w:rsidRPr="00FE33EA" w:rsidRDefault="00893342" w:rsidP="00606D98">
      <w:pPr>
        <w:pStyle w:val="a3"/>
        <w:numPr>
          <w:ilvl w:val="0"/>
          <w:numId w:val="3"/>
        </w:num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Στον Λογαριασμό Α η χρονοσταθμισμένη απόδοση (time weighted rate of return) ισούται προς την σταθμισμένη απόδοση βάσει νομίσματος (dollar –weighted rate of return)</w:t>
      </w:r>
    </w:p>
    <w:p w:rsidR="00893342" w:rsidRPr="00FE33EA" w:rsidRDefault="00893342" w:rsidP="00606D98">
      <w:pPr>
        <w:pStyle w:val="a3"/>
        <w:numPr>
          <w:ilvl w:val="0"/>
          <w:numId w:val="3"/>
        </w:num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Στον Λογαριασμό Α η χρονοσταθμισμένη απόδοση (time weighted rate of return) είναι μεγαλύτερη από την χρονοσταθμισμένη απόδοση (time weighted rate of return) του Λογαριασμού Β</w:t>
      </w:r>
    </w:p>
    <w:p w:rsidR="00893342" w:rsidRPr="00FE33EA" w:rsidRDefault="00893342" w:rsidP="00606D98">
      <w:pPr>
        <w:pStyle w:val="a3"/>
        <w:numPr>
          <w:ilvl w:val="0"/>
          <w:numId w:val="3"/>
        </w:num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 xml:space="preserve">Στον Λογαριασμό Β η σταθμισμένη απόδοση βάσει νομίσματος (dollar –weighted rate of return) είναι μεγαλύτερη της χρονοσταθμισμένης απόδοσης (time weighted rate of return) </w:t>
      </w:r>
    </w:p>
    <w:p w:rsidR="00893342" w:rsidRPr="00FE33EA" w:rsidRDefault="00893342" w:rsidP="00606D98">
      <w:pPr>
        <w:pStyle w:val="a3"/>
        <w:numPr>
          <w:ilvl w:val="0"/>
          <w:numId w:val="4"/>
        </w:num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Μόνο το I</w:t>
      </w:r>
    </w:p>
    <w:p w:rsidR="00893342" w:rsidRPr="00FE33EA" w:rsidRDefault="00893342" w:rsidP="00606D98">
      <w:pPr>
        <w:pStyle w:val="a3"/>
        <w:numPr>
          <w:ilvl w:val="0"/>
          <w:numId w:val="4"/>
        </w:num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Μόνο το II</w:t>
      </w:r>
    </w:p>
    <w:p w:rsidR="00893342" w:rsidRPr="00FE33EA" w:rsidRDefault="00893342" w:rsidP="00606D98">
      <w:pPr>
        <w:pStyle w:val="a3"/>
        <w:numPr>
          <w:ilvl w:val="0"/>
          <w:numId w:val="4"/>
        </w:num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Μόνο τα I και III</w:t>
      </w:r>
    </w:p>
    <w:p w:rsidR="00893342" w:rsidRPr="00FE33EA" w:rsidRDefault="00893342" w:rsidP="00606D98">
      <w:pPr>
        <w:pStyle w:val="a3"/>
        <w:numPr>
          <w:ilvl w:val="0"/>
          <w:numId w:val="4"/>
        </w:num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Μόνο τα ΙΙ και III</w:t>
      </w:r>
    </w:p>
    <w:p w:rsidR="00893342" w:rsidRPr="00FE33EA" w:rsidRDefault="00893342" w:rsidP="00606D98">
      <w:pPr>
        <w:pStyle w:val="a3"/>
        <w:numPr>
          <w:ilvl w:val="0"/>
          <w:numId w:val="4"/>
        </w:num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Όλα</w:t>
      </w:r>
    </w:p>
    <w:p w:rsidR="00893342" w:rsidRPr="00FE33EA" w:rsidRDefault="00893342">
      <w:p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br w:type="page"/>
      </w:r>
    </w:p>
    <w:p w:rsidR="00893342" w:rsidRPr="00FE33EA" w:rsidRDefault="00893342" w:rsidP="00771CCD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lastRenderedPageBreak/>
        <w:t xml:space="preserve">Σε συνταξιοδοτικό σχήμα στο οποίο συμμετέχουν εργαζόμενοι συνταξιούχοι και αποχωρούντες που έχουν θεμελιώσει συνταξιοδοτικό δικαίωμα, η συνολική αναλογιστική υποχρέωση βάσει της μεθόδου πιστούμενης μονάδας (unit credit) ισούται προς: </w:t>
      </w:r>
    </w:p>
    <w:p w:rsidR="00893342" w:rsidRPr="00FE33EA" w:rsidRDefault="00893342" w:rsidP="00606D98">
      <w:pPr>
        <w:pStyle w:val="a3"/>
        <w:numPr>
          <w:ilvl w:val="0"/>
          <w:numId w:val="6"/>
        </w:num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position w:val="-26"/>
          <w:lang w:val="el-GR"/>
        </w:rPr>
        <w:object w:dxaOrig="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3.6pt" o:ole="" fillcolor="window">
            <v:imagedata r:id="rId6" o:title=""/>
          </v:shape>
          <o:OLEObject Type="Embed" ProgID="Equation.3" ShapeID="_x0000_i1025" DrawAspect="Content" ObjectID="_1482141695" r:id="rId7"/>
        </w:object>
      </w:r>
      <w:proofErr w:type="spellStart"/>
      <w:r w:rsidRPr="00FE33EA">
        <w:rPr>
          <w:rFonts w:ascii="Arial" w:hAnsi="Arial" w:cs="Arial"/>
          <w:lang w:val="el-GR"/>
        </w:rPr>
        <w:t>Β</w:t>
      </w:r>
      <w:r w:rsidRPr="00FE33EA">
        <w:rPr>
          <w:rFonts w:ascii="Arial" w:hAnsi="Arial" w:cs="Arial"/>
          <w:vertAlign w:val="subscript"/>
          <w:lang w:val="el-GR"/>
        </w:rPr>
        <w:t>x</w:t>
      </w:r>
      <w:proofErr w:type="spellEnd"/>
      <w:r w:rsidRPr="00FE33EA">
        <w:rPr>
          <w:rFonts w:ascii="Arial" w:hAnsi="Arial" w:cs="Arial"/>
          <w:lang w:val="el-GR"/>
        </w:rPr>
        <w:t>*</w:t>
      </w:r>
      <w:r w:rsidRPr="00FE33EA">
        <w:rPr>
          <w:rFonts w:ascii="Arial" w:hAnsi="Arial" w:cs="Arial"/>
          <w:position w:val="-36"/>
          <w:lang w:val="el-GR"/>
        </w:rPr>
        <w:object w:dxaOrig="460" w:dyaOrig="820">
          <v:shape id="_x0000_i1026" type="#_x0000_t75" style="width:23.4pt;height:41.4pt" o:ole="" fillcolor="window">
            <v:imagedata r:id="rId8" o:title=""/>
          </v:shape>
          <o:OLEObject Type="Embed" ProgID="Equation.3" ShapeID="_x0000_i1026" DrawAspect="Content" ObjectID="_1482141696" r:id="rId9"/>
        </w:object>
      </w:r>
      <w:r w:rsidRPr="00FE33EA">
        <w:rPr>
          <w:rFonts w:ascii="Arial" w:hAnsi="Arial" w:cs="Arial"/>
          <w:position w:val="-6"/>
          <w:lang w:val="el-GR"/>
        </w:rPr>
        <w:object w:dxaOrig="520" w:dyaOrig="560">
          <v:shape id="_x0000_i1027" type="#_x0000_t75" style="width:26.4pt;height:27.6pt" o:ole="" fillcolor="window">
            <v:imagedata r:id="rId10" o:title=""/>
          </v:shape>
          <o:OLEObject Type="Embed" ProgID="Equation.3" ShapeID="_x0000_i1027" DrawAspect="Content" ObjectID="_1482141697" r:id="rId11"/>
        </w:object>
      </w:r>
      <w:r w:rsidRPr="00FE33EA">
        <w:rPr>
          <w:rFonts w:ascii="Arial" w:hAnsi="Arial" w:cs="Arial"/>
          <w:lang w:val="el-GR"/>
        </w:rPr>
        <w:t xml:space="preserve">+ </w:t>
      </w:r>
      <w:r w:rsidRPr="00FE33EA">
        <w:rPr>
          <w:rFonts w:ascii="Arial" w:hAnsi="Arial" w:cs="Arial"/>
          <w:position w:val="-26"/>
          <w:lang w:val="el-GR"/>
        </w:rPr>
        <w:object w:dxaOrig="480" w:dyaOrig="680">
          <v:shape id="_x0000_i1028" type="#_x0000_t75" style="width:24pt;height:33.6pt" o:ole="" fillcolor="window">
            <v:imagedata r:id="rId12" o:title=""/>
          </v:shape>
          <o:OLEObject Type="Embed" ProgID="Equation.3" ShapeID="_x0000_i1028" DrawAspect="Content" ObjectID="_1482141698" r:id="rId13"/>
        </w:object>
      </w:r>
      <w:proofErr w:type="spellStart"/>
      <w:r w:rsidRPr="00FE33EA">
        <w:rPr>
          <w:rFonts w:ascii="Arial" w:hAnsi="Arial" w:cs="Arial"/>
          <w:lang w:val="el-GR"/>
        </w:rPr>
        <w:t>Β</w:t>
      </w:r>
      <w:r w:rsidRPr="00FE33EA">
        <w:rPr>
          <w:rFonts w:ascii="Arial" w:hAnsi="Arial" w:cs="Arial"/>
          <w:vertAlign w:val="subscript"/>
          <w:lang w:val="el-GR"/>
        </w:rPr>
        <w:t>r</w:t>
      </w:r>
      <w:proofErr w:type="spellEnd"/>
      <w:r w:rsidRPr="00FE33EA">
        <w:rPr>
          <w:rFonts w:ascii="Arial" w:hAnsi="Arial" w:cs="Arial"/>
          <w:lang w:val="el-GR"/>
        </w:rPr>
        <w:t>*</w:t>
      </w:r>
      <w:r w:rsidRPr="00FE33EA">
        <w:rPr>
          <w:rFonts w:ascii="Arial" w:hAnsi="Arial" w:cs="Arial"/>
          <w:position w:val="-6"/>
          <w:lang w:val="el-GR"/>
        </w:rPr>
        <w:object w:dxaOrig="520" w:dyaOrig="560">
          <v:shape id="_x0000_i1029" type="#_x0000_t75" style="width:26.4pt;height:27.6pt" o:ole="" fillcolor="window">
            <v:imagedata r:id="rId14" o:title=""/>
          </v:shape>
          <o:OLEObject Type="Embed" ProgID="Equation.3" ShapeID="_x0000_i1029" DrawAspect="Content" ObjectID="_1482141699" r:id="rId15"/>
        </w:object>
      </w:r>
    </w:p>
    <w:p w:rsidR="00893342" w:rsidRPr="00FE33EA" w:rsidRDefault="00893342" w:rsidP="00606D98">
      <w:pPr>
        <w:pStyle w:val="a3"/>
        <w:numPr>
          <w:ilvl w:val="0"/>
          <w:numId w:val="6"/>
        </w:num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position w:val="-26"/>
          <w:lang w:val="el-GR"/>
        </w:rPr>
        <w:object w:dxaOrig="480" w:dyaOrig="680">
          <v:shape id="_x0000_i1030" type="#_x0000_t75" style="width:24pt;height:33.6pt" o:ole="" fillcolor="window">
            <v:imagedata r:id="rId6" o:title=""/>
          </v:shape>
          <o:OLEObject Type="Embed" ProgID="Equation.3" ShapeID="_x0000_i1030" DrawAspect="Content" ObjectID="_1482141700" r:id="rId16"/>
        </w:object>
      </w:r>
      <w:proofErr w:type="spellStart"/>
      <w:r w:rsidRPr="00FE33EA">
        <w:rPr>
          <w:rFonts w:ascii="Arial" w:hAnsi="Arial" w:cs="Arial"/>
          <w:lang w:val="el-GR"/>
        </w:rPr>
        <w:t>Β</w:t>
      </w:r>
      <w:r w:rsidRPr="00FE33EA">
        <w:rPr>
          <w:rFonts w:ascii="Arial" w:hAnsi="Arial" w:cs="Arial"/>
          <w:vertAlign w:val="subscript"/>
          <w:lang w:val="el-GR"/>
        </w:rPr>
        <w:t>x</w:t>
      </w:r>
      <w:proofErr w:type="spellEnd"/>
      <w:r w:rsidRPr="00FE33EA">
        <w:rPr>
          <w:rFonts w:ascii="Arial" w:hAnsi="Arial" w:cs="Arial"/>
          <w:lang w:val="el-GR"/>
        </w:rPr>
        <w:t>*</w:t>
      </w:r>
      <w:r w:rsidRPr="00FE33EA">
        <w:rPr>
          <w:rFonts w:ascii="Arial" w:hAnsi="Arial" w:cs="Arial"/>
          <w:position w:val="-36"/>
          <w:lang w:val="el-GR"/>
        </w:rPr>
        <w:object w:dxaOrig="460" w:dyaOrig="820">
          <v:shape id="_x0000_i1031" type="#_x0000_t75" style="width:23.4pt;height:41.4pt" o:ole="" fillcolor="window">
            <v:imagedata r:id="rId8" o:title=""/>
          </v:shape>
          <o:OLEObject Type="Embed" ProgID="Equation.3" ShapeID="_x0000_i1031" DrawAspect="Content" ObjectID="_1482141701" r:id="rId17"/>
        </w:object>
      </w:r>
      <w:r w:rsidRPr="00FE33EA">
        <w:rPr>
          <w:rFonts w:ascii="Arial" w:hAnsi="Arial" w:cs="Arial"/>
          <w:position w:val="-6"/>
          <w:lang w:val="el-GR"/>
        </w:rPr>
        <w:object w:dxaOrig="520" w:dyaOrig="560">
          <v:shape id="_x0000_i1032" type="#_x0000_t75" style="width:26.4pt;height:27.6pt" o:ole="" fillcolor="window">
            <v:imagedata r:id="rId10" o:title=""/>
          </v:shape>
          <o:OLEObject Type="Embed" ProgID="Equation.3" ShapeID="_x0000_i1032" DrawAspect="Content" ObjectID="_1482141702" r:id="rId18"/>
        </w:object>
      </w:r>
      <w:r w:rsidRPr="00FE33EA">
        <w:rPr>
          <w:rFonts w:ascii="Arial" w:hAnsi="Arial" w:cs="Arial"/>
          <w:lang w:val="el-GR"/>
        </w:rPr>
        <w:t xml:space="preserve">+ </w:t>
      </w:r>
      <w:r w:rsidRPr="00FE33EA">
        <w:rPr>
          <w:rFonts w:ascii="Arial" w:hAnsi="Arial" w:cs="Arial"/>
          <w:position w:val="-26"/>
          <w:lang w:val="el-GR"/>
        </w:rPr>
        <w:object w:dxaOrig="480" w:dyaOrig="680">
          <v:shape id="_x0000_i1033" type="#_x0000_t75" style="width:24pt;height:33.6pt" o:ole="" fillcolor="window">
            <v:imagedata r:id="rId12" o:title=""/>
          </v:shape>
          <o:OLEObject Type="Embed" ProgID="Equation.3" ShapeID="_x0000_i1033" DrawAspect="Content" ObjectID="_1482141703" r:id="rId19"/>
        </w:object>
      </w:r>
      <w:proofErr w:type="spellStart"/>
      <w:r w:rsidRPr="00FE33EA">
        <w:rPr>
          <w:rFonts w:ascii="Arial" w:hAnsi="Arial" w:cs="Arial"/>
          <w:lang w:val="el-GR"/>
        </w:rPr>
        <w:t>Β</w:t>
      </w:r>
      <w:r w:rsidRPr="00FE33EA">
        <w:rPr>
          <w:rFonts w:ascii="Arial" w:hAnsi="Arial" w:cs="Arial"/>
          <w:vertAlign w:val="subscript"/>
          <w:lang w:val="el-GR"/>
        </w:rPr>
        <w:t>r</w:t>
      </w:r>
      <w:proofErr w:type="spellEnd"/>
      <w:r w:rsidRPr="00FE33EA">
        <w:rPr>
          <w:rFonts w:ascii="Arial" w:hAnsi="Arial" w:cs="Arial"/>
          <w:lang w:val="el-GR"/>
        </w:rPr>
        <w:t>*</w:t>
      </w:r>
      <w:r w:rsidRPr="00FE33EA">
        <w:rPr>
          <w:rFonts w:ascii="Arial" w:hAnsi="Arial" w:cs="Arial"/>
          <w:position w:val="-6"/>
          <w:lang w:val="el-GR"/>
        </w:rPr>
        <w:object w:dxaOrig="520" w:dyaOrig="560">
          <v:shape id="_x0000_i1034" type="#_x0000_t75" style="width:26.4pt;height:27.6pt" o:ole="" fillcolor="window">
            <v:imagedata r:id="rId14" o:title=""/>
          </v:shape>
          <o:OLEObject Type="Embed" ProgID="Equation.3" ShapeID="_x0000_i1034" DrawAspect="Content" ObjectID="_1482141704" r:id="rId20"/>
        </w:object>
      </w:r>
      <w:r w:rsidRPr="00FE33EA">
        <w:rPr>
          <w:rFonts w:ascii="Arial" w:hAnsi="Arial" w:cs="Arial"/>
          <w:lang w:val="el-GR"/>
        </w:rPr>
        <w:t xml:space="preserve">+ </w:t>
      </w:r>
      <w:r w:rsidRPr="00FE33EA">
        <w:rPr>
          <w:rFonts w:ascii="Arial" w:hAnsi="Arial" w:cs="Arial"/>
          <w:position w:val="-26"/>
          <w:lang w:val="el-GR"/>
        </w:rPr>
        <w:object w:dxaOrig="480" w:dyaOrig="680">
          <v:shape id="_x0000_i1035" type="#_x0000_t75" style="width:24pt;height:33.6pt" o:ole="" fillcolor="window">
            <v:imagedata r:id="rId6" o:title=""/>
          </v:shape>
          <o:OLEObject Type="Embed" ProgID="Equation.3" ShapeID="_x0000_i1035" DrawAspect="Content" ObjectID="_1482141705" r:id="rId21"/>
        </w:object>
      </w:r>
      <w:proofErr w:type="spellStart"/>
      <w:r w:rsidRPr="00FE33EA">
        <w:rPr>
          <w:rFonts w:ascii="Arial" w:hAnsi="Arial" w:cs="Arial"/>
          <w:lang w:val="el-GR"/>
        </w:rPr>
        <w:t>Β</w:t>
      </w:r>
      <w:r w:rsidRPr="00FE33EA">
        <w:rPr>
          <w:rFonts w:ascii="Arial" w:hAnsi="Arial" w:cs="Arial"/>
          <w:vertAlign w:val="subscript"/>
          <w:lang w:val="el-GR"/>
        </w:rPr>
        <w:t>r</w:t>
      </w:r>
      <w:proofErr w:type="spellEnd"/>
      <w:r w:rsidRPr="00FE33EA">
        <w:rPr>
          <w:rFonts w:ascii="Arial" w:hAnsi="Arial" w:cs="Arial"/>
          <w:lang w:val="el-GR"/>
        </w:rPr>
        <w:t>*</w:t>
      </w:r>
      <w:r w:rsidRPr="00FE33EA">
        <w:rPr>
          <w:rFonts w:ascii="Arial" w:hAnsi="Arial" w:cs="Arial"/>
          <w:position w:val="-36"/>
          <w:lang w:val="el-GR"/>
        </w:rPr>
        <w:object w:dxaOrig="460" w:dyaOrig="820">
          <v:shape id="_x0000_i1036" type="#_x0000_t75" style="width:23.4pt;height:41.4pt" o:ole="" fillcolor="window">
            <v:imagedata r:id="rId8" o:title=""/>
          </v:shape>
          <o:OLEObject Type="Embed" ProgID="Equation.3" ShapeID="_x0000_i1036" DrawAspect="Content" ObjectID="_1482141706" r:id="rId22"/>
        </w:object>
      </w:r>
      <w:r w:rsidRPr="00FE33EA">
        <w:rPr>
          <w:rFonts w:ascii="Arial" w:hAnsi="Arial" w:cs="Arial"/>
          <w:position w:val="-6"/>
          <w:lang w:val="el-GR"/>
        </w:rPr>
        <w:object w:dxaOrig="520" w:dyaOrig="560">
          <v:shape id="_x0000_i1037" type="#_x0000_t75" style="width:26.4pt;height:27.6pt" o:ole="" fillcolor="window">
            <v:imagedata r:id="rId10" o:title=""/>
          </v:shape>
          <o:OLEObject Type="Embed" ProgID="Equation.3" ShapeID="_x0000_i1037" DrawAspect="Content" ObjectID="_1482141707" r:id="rId23"/>
        </w:object>
      </w:r>
    </w:p>
    <w:p w:rsidR="00893342" w:rsidRPr="00FE33EA" w:rsidRDefault="00893342" w:rsidP="00606D98">
      <w:pPr>
        <w:pStyle w:val="a3"/>
        <w:numPr>
          <w:ilvl w:val="0"/>
          <w:numId w:val="6"/>
        </w:num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position w:val="-26"/>
          <w:lang w:val="el-GR"/>
        </w:rPr>
        <w:object w:dxaOrig="480" w:dyaOrig="680">
          <v:shape id="_x0000_i1038" type="#_x0000_t75" style="width:24pt;height:33.6pt" o:ole="" fillcolor="window">
            <v:imagedata r:id="rId6" o:title=""/>
          </v:shape>
          <o:OLEObject Type="Embed" ProgID="Equation.3" ShapeID="_x0000_i1038" DrawAspect="Content" ObjectID="_1482141708" r:id="rId24"/>
        </w:object>
      </w:r>
      <w:proofErr w:type="spellStart"/>
      <w:r w:rsidRPr="00FE33EA">
        <w:rPr>
          <w:rFonts w:ascii="Arial" w:hAnsi="Arial" w:cs="Arial"/>
          <w:lang w:val="el-GR"/>
        </w:rPr>
        <w:t>Β</w:t>
      </w:r>
      <w:r w:rsidRPr="00FE33EA">
        <w:rPr>
          <w:rFonts w:ascii="Arial" w:hAnsi="Arial" w:cs="Arial"/>
          <w:vertAlign w:val="subscript"/>
          <w:lang w:val="el-GR"/>
        </w:rPr>
        <w:t>x</w:t>
      </w:r>
      <w:proofErr w:type="spellEnd"/>
      <w:r w:rsidRPr="00FE33EA">
        <w:rPr>
          <w:rFonts w:ascii="Arial" w:hAnsi="Arial" w:cs="Arial"/>
          <w:lang w:val="el-GR"/>
        </w:rPr>
        <w:t>*</w:t>
      </w:r>
      <w:r w:rsidRPr="00FE33EA">
        <w:rPr>
          <w:rFonts w:ascii="Arial" w:hAnsi="Arial" w:cs="Arial"/>
          <w:position w:val="-36"/>
          <w:lang w:val="el-GR"/>
        </w:rPr>
        <w:object w:dxaOrig="460" w:dyaOrig="820">
          <v:shape id="_x0000_i1039" type="#_x0000_t75" style="width:23.4pt;height:41.4pt" o:ole="" fillcolor="window">
            <v:imagedata r:id="rId8" o:title=""/>
          </v:shape>
          <o:OLEObject Type="Embed" ProgID="Equation.3" ShapeID="_x0000_i1039" DrawAspect="Content" ObjectID="_1482141709" r:id="rId25"/>
        </w:object>
      </w:r>
      <w:r w:rsidRPr="00FE33EA">
        <w:rPr>
          <w:rFonts w:ascii="Arial" w:hAnsi="Arial" w:cs="Arial"/>
          <w:position w:val="-6"/>
          <w:lang w:val="el-GR"/>
        </w:rPr>
        <w:object w:dxaOrig="520" w:dyaOrig="560">
          <v:shape id="_x0000_i1040" type="#_x0000_t75" style="width:26.4pt;height:27.6pt" o:ole="" fillcolor="window">
            <v:imagedata r:id="rId10" o:title=""/>
          </v:shape>
          <o:OLEObject Type="Embed" ProgID="Equation.3" ShapeID="_x0000_i1040" DrawAspect="Content" ObjectID="_1482141710" r:id="rId26"/>
        </w:object>
      </w:r>
      <w:r w:rsidRPr="00FE33EA">
        <w:rPr>
          <w:rFonts w:ascii="Arial" w:hAnsi="Arial" w:cs="Arial"/>
          <w:lang w:val="el-GR"/>
        </w:rPr>
        <w:t xml:space="preserve">+ </w:t>
      </w:r>
      <w:r w:rsidRPr="00FE33EA">
        <w:rPr>
          <w:rFonts w:ascii="Arial" w:hAnsi="Arial" w:cs="Arial"/>
          <w:position w:val="-26"/>
          <w:lang w:val="el-GR"/>
        </w:rPr>
        <w:object w:dxaOrig="480" w:dyaOrig="680">
          <v:shape id="_x0000_i1041" type="#_x0000_t75" style="width:24pt;height:33.6pt" o:ole="" fillcolor="window">
            <v:imagedata r:id="rId12" o:title=""/>
          </v:shape>
          <o:OLEObject Type="Embed" ProgID="Equation.3" ShapeID="_x0000_i1041" DrawAspect="Content" ObjectID="_1482141711" r:id="rId27"/>
        </w:object>
      </w:r>
      <w:proofErr w:type="spellStart"/>
      <w:r w:rsidRPr="00FE33EA">
        <w:rPr>
          <w:rFonts w:ascii="Arial" w:hAnsi="Arial" w:cs="Arial"/>
          <w:lang w:val="el-GR"/>
        </w:rPr>
        <w:t>Β</w:t>
      </w:r>
      <w:r w:rsidRPr="00FE33EA">
        <w:rPr>
          <w:rFonts w:ascii="Arial" w:hAnsi="Arial" w:cs="Arial"/>
          <w:vertAlign w:val="subscript"/>
          <w:lang w:val="el-GR"/>
        </w:rPr>
        <w:t>r</w:t>
      </w:r>
      <w:proofErr w:type="spellEnd"/>
      <w:r w:rsidRPr="00FE33EA">
        <w:rPr>
          <w:rFonts w:ascii="Arial" w:hAnsi="Arial" w:cs="Arial"/>
          <w:lang w:val="el-GR"/>
        </w:rPr>
        <w:t>*</w:t>
      </w:r>
      <w:r w:rsidRPr="00FE33EA">
        <w:rPr>
          <w:rFonts w:ascii="Arial" w:hAnsi="Arial" w:cs="Arial"/>
          <w:position w:val="-6"/>
          <w:lang w:val="el-GR"/>
        </w:rPr>
        <w:object w:dxaOrig="520" w:dyaOrig="560">
          <v:shape id="_x0000_i1042" type="#_x0000_t75" style="width:26.4pt;height:27.6pt" o:ole="" fillcolor="window">
            <v:imagedata r:id="rId14" o:title=""/>
          </v:shape>
          <o:OLEObject Type="Embed" ProgID="Equation.3" ShapeID="_x0000_i1042" DrawAspect="Content" ObjectID="_1482141712" r:id="rId28"/>
        </w:object>
      </w:r>
      <w:r w:rsidRPr="00FE33EA">
        <w:rPr>
          <w:rFonts w:ascii="Arial" w:hAnsi="Arial" w:cs="Arial"/>
          <w:lang w:val="el-GR"/>
        </w:rPr>
        <w:t xml:space="preserve">+ </w:t>
      </w:r>
      <w:r w:rsidRPr="00FE33EA">
        <w:rPr>
          <w:rFonts w:ascii="Arial" w:hAnsi="Arial" w:cs="Arial"/>
          <w:position w:val="-26"/>
          <w:lang w:val="el-GR"/>
        </w:rPr>
        <w:object w:dxaOrig="480" w:dyaOrig="680">
          <v:shape id="_x0000_i1043" type="#_x0000_t75" style="width:24pt;height:33.6pt" o:ole="" fillcolor="window">
            <v:imagedata r:id="rId6" o:title=""/>
          </v:shape>
          <o:OLEObject Type="Embed" ProgID="Equation.3" ShapeID="_x0000_i1043" DrawAspect="Content" ObjectID="_1482141713" r:id="rId29"/>
        </w:object>
      </w:r>
      <w:proofErr w:type="spellStart"/>
      <w:r w:rsidRPr="00FE33EA">
        <w:rPr>
          <w:rFonts w:ascii="Arial" w:hAnsi="Arial" w:cs="Arial"/>
          <w:lang w:val="el-GR"/>
        </w:rPr>
        <w:t>Β</w:t>
      </w:r>
      <w:r w:rsidRPr="00FE33EA">
        <w:rPr>
          <w:rFonts w:ascii="Arial" w:hAnsi="Arial" w:cs="Arial"/>
          <w:vertAlign w:val="subscript"/>
          <w:lang w:val="el-GR"/>
        </w:rPr>
        <w:t>x</w:t>
      </w:r>
      <w:proofErr w:type="spellEnd"/>
      <w:r w:rsidRPr="00FE33EA">
        <w:rPr>
          <w:rFonts w:ascii="Arial" w:hAnsi="Arial" w:cs="Arial"/>
          <w:lang w:val="el-GR"/>
        </w:rPr>
        <w:t>*</w:t>
      </w:r>
      <w:r w:rsidRPr="00FE33EA">
        <w:rPr>
          <w:rFonts w:ascii="Arial" w:hAnsi="Arial" w:cs="Arial"/>
          <w:position w:val="-6"/>
          <w:lang w:val="el-GR"/>
        </w:rPr>
        <w:object w:dxaOrig="520" w:dyaOrig="560">
          <v:shape id="_x0000_i1044" type="#_x0000_t75" style="width:26.4pt;height:27.6pt" o:ole="" fillcolor="window">
            <v:imagedata r:id="rId10" o:title=""/>
          </v:shape>
          <o:OLEObject Type="Embed" ProgID="Equation.3" ShapeID="_x0000_i1044" DrawAspect="Content" ObjectID="_1482141714" r:id="rId30"/>
        </w:object>
      </w:r>
    </w:p>
    <w:p w:rsidR="00893342" w:rsidRPr="00FE33EA" w:rsidRDefault="00893342" w:rsidP="00606D98">
      <w:pPr>
        <w:pStyle w:val="a3"/>
        <w:numPr>
          <w:ilvl w:val="0"/>
          <w:numId w:val="6"/>
        </w:num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position w:val="-26"/>
          <w:lang w:val="el-GR"/>
        </w:rPr>
        <w:object w:dxaOrig="480" w:dyaOrig="680">
          <v:shape id="_x0000_i1045" type="#_x0000_t75" style="width:24pt;height:33.6pt" o:ole="" fillcolor="window">
            <v:imagedata r:id="rId6" o:title=""/>
          </v:shape>
          <o:OLEObject Type="Embed" ProgID="Equation.3" ShapeID="_x0000_i1045" DrawAspect="Content" ObjectID="_1482141715" r:id="rId31"/>
        </w:object>
      </w:r>
      <w:proofErr w:type="spellStart"/>
      <w:r w:rsidRPr="00FE33EA">
        <w:rPr>
          <w:rFonts w:ascii="Arial" w:hAnsi="Arial" w:cs="Arial"/>
          <w:lang w:val="el-GR"/>
        </w:rPr>
        <w:t>Β</w:t>
      </w:r>
      <w:r w:rsidRPr="00FE33EA">
        <w:rPr>
          <w:rFonts w:ascii="Arial" w:hAnsi="Arial" w:cs="Arial"/>
          <w:vertAlign w:val="subscript"/>
          <w:lang w:val="el-GR"/>
        </w:rPr>
        <w:t>x</w:t>
      </w:r>
      <w:proofErr w:type="spellEnd"/>
      <w:r w:rsidRPr="00FE33EA">
        <w:rPr>
          <w:rFonts w:ascii="Arial" w:hAnsi="Arial" w:cs="Arial"/>
          <w:lang w:val="el-GR"/>
        </w:rPr>
        <w:t>*</w:t>
      </w:r>
      <w:r w:rsidRPr="00FE33EA">
        <w:rPr>
          <w:rFonts w:ascii="Arial" w:hAnsi="Arial" w:cs="Arial"/>
          <w:position w:val="-36"/>
          <w:lang w:val="el-GR"/>
        </w:rPr>
        <w:object w:dxaOrig="460" w:dyaOrig="820">
          <v:shape id="_x0000_i1046" type="#_x0000_t75" style="width:23.4pt;height:41.4pt" o:ole="" fillcolor="window">
            <v:imagedata r:id="rId8" o:title=""/>
          </v:shape>
          <o:OLEObject Type="Embed" ProgID="Equation.3" ShapeID="_x0000_i1046" DrawAspect="Content" ObjectID="_1482141716" r:id="rId32"/>
        </w:object>
      </w:r>
      <w:r w:rsidRPr="00FE33EA">
        <w:rPr>
          <w:rFonts w:ascii="Arial" w:hAnsi="Arial" w:cs="Arial"/>
          <w:position w:val="-6"/>
          <w:lang w:val="el-GR"/>
        </w:rPr>
        <w:object w:dxaOrig="520" w:dyaOrig="560">
          <v:shape id="_x0000_i1047" type="#_x0000_t75" style="width:26.4pt;height:27.6pt" o:ole="" fillcolor="window">
            <v:imagedata r:id="rId10" o:title=""/>
          </v:shape>
          <o:OLEObject Type="Embed" ProgID="Equation.3" ShapeID="_x0000_i1047" DrawAspect="Content" ObjectID="_1482141717" r:id="rId33"/>
        </w:object>
      </w:r>
      <w:r w:rsidRPr="00FE33EA">
        <w:rPr>
          <w:rFonts w:ascii="Arial" w:hAnsi="Arial" w:cs="Arial"/>
          <w:lang w:val="el-GR"/>
        </w:rPr>
        <w:t xml:space="preserve">+ </w:t>
      </w:r>
      <w:r w:rsidRPr="00FE33EA">
        <w:rPr>
          <w:rFonts w:ascii="Arial" w:hAnsi="Arial" w:cs="Arial"/>
          <w:position w:val="-26"/>
          <w:lang w:val="el-GR"/>
        </w:rPr>
        <w:object w:dxaOrig="480" w:dyaOrig="680">
          <v:shape id="_x0000_i1048" type="#_x0000_t75" style="width:24pt;height:33.6pt" o:ole="" fillcolor="window">
            <v:imagedata r:id="rId12" o:title=""/>
          </v:shape>
          <o:OLEObject Type="Embed" ProgID="Equation.3" ShapeID="_x0000_i1048" DrawAspect="Content" ObjectID="_1482141718" r:id="rId34"/>
        </w:object>
      </w:r>
      <w:proofErr w:type="spellStart"/>
      <w:r w:rsidRPr="00FE33EA">
        <w:rPr>
          <w:rFonts w:ascii="Arial" w:hAnsi="Arial" w:cs="Arial"/>
          <w:lang w:val="el-GR"/>
        </w:rPr>
        <w:t>Β</w:t>
      </w:r>
      <w:r w:rsidRPr="00FE33EA">
        <w:rPr>
          <w:rFonts w:ascii="Arial" w:hAnsi="Arial" w:cs="Arial"/>
          <w:vertAlign w:val="subscript"/>
          <w:lang w:val="el-GR"/>
        </w:rPr>
        <w:t>r</w:t>
      </w:r>
      <w:proofErr w:type="spellEnd"/>
      <w:r w:rsidRPr="00FE33EA">
        <w:rPr>
          <w:rFonts w:ascii="Arial" w:hAnsi="Arial" w:cs="Arial"/>
          <w:lang w:val="el-GR"/>
        </w:rPr>
        <w:t>*</w:t>
      </w:r>
      <w:r w:rsidRPr="00FE33EA">
        <w:rPr>
          <w:rFonts w:ascii="Arial" w:hAnsi="Arial" w:cs="Arial"/>
          <w:position w:val="-6"/>
          <w:lang w:val="el-GR"/>
        </w:rPr>
        <w:object w:dxaOrig="520" w:dyaOrig="560">
          <v:shape id="_x0000_i1049" type="#_x0000_t75" style="width:26.4pt;height:27.6pt" o:ole="" fillcolor="window">
            <v:imagedata r:id="rId14" o:title=""/>
          </v:shape>
          <o:OLEObject Type="Embed" ProgID="Equation.3" ShapeID="_x0000_i1049" DrawAspect="Content" ObjectID="_1482141719" r:id="rId35"/>
        </w:object>
      </w:r>
      <w:r w:rsidRPr="00FE33EA">
        <w:rPr>
          <w:rFonts w:ascii="Arial" w:hAnsi="Arial" w:cs="Arial"/>
          <w:lang w:val="el-GR"/>
        </w:rPr>
        <w:t xml:space="preserve">+ </w:t>
      </w:r>
      <w:r w:rsidRPr="00FE33EA">
        <w:rPr>
          <w:rFonts w:ascii="Arial" w:hAnsi="Arial" w:cs="Arial"/>
          <w:position w:val="-26"/>
          <w:lang w:val="el-GR"/>
        </w:rPr>
        <w:object w:dxaOrig="480" w:dyaOrig="680">
          <v:shape id="_x0000_i1050" type="#_x0000_t75" style="width:24pt;height:33.6pt" o:ole="" fillcolor="window">
            <v:imagedata r:id="rId6" o:title=""/>
          </v:shape>
          <o:OLEObject Type="Embed" ProgID="Equation.3" ShapeID="_x0000_i1050" DrawAspect="Content" ObjectID="_1482141720" r:id="rId36"/>
        </w:object>
      </w:r>
      <w:proofErr w:type="spellStart"/>
      <w:r w:rsidRPr="00FE33EA">
        <w:rPr>
          <w:rFonts w:ascii="Arial" w:hAnsi="Arial" w:cs="Arial"/>
          <w:lang w:val="el-GR"/>
        </w:rPr>
        <w:t>Β</w:t>
      </w:r>
      <w:r w:rsidRPr="00FE33EA">
        <w:rPr>
          <w:rFonts w:ascii="Arial" w:hAnsi="Arial" w:cs="Arial"/>
          <w:vertAlign w:val="subscript"/>
          <w:lang w:val="el-GR"/>
        </w:rPr>
        <w:t>x</w:t>
      </w:r>
      <w:proofErr w:type="spellEnd"/>
      <w:r w:rsidRPr="00FE33EA">
        <w:rPr>
          <w:rFonts w:ascii="Arial" w:hAnsi="Arial" w:cs="Arial"/>
          <w:lang w:val="el-GR"/>
        </w:rPr>
        <w:t>*</w:t>
      </w:r>
      <w:r w:rsidRPr="00FE33EA">
        <w:rPr>
          <w:rFonts w:ascii="Arial" w:hAnsi="Arial" w:cs="Arial"/>
          <w:position w:val="-6"/>
          <w:lang w:val="el-GR"/>
        </w:rPr>
        <w:object w:dxaOrig="520" w:dyaOrig="560">
          <v:shape id="_x0000_i1051" type="#_x0000_t75" style="width:26.4pt;height:27.6pt" o:ole="" fillcolor="window">
            <v:imagedata r:id="rId14" o:title=""/>
          </v:shape>
          <o:OLEObject Type="Embed" ProgID="Equation.3" ShapeID="_x0000_i1051" DrawAspect="Content" ObjectID="_1482141721" r:id="rId37"/>
        </w:object>
      </w:r>
    </w:p>
    <w:p w:rsidR="00893342" w:rsidRPr="00FE33EA" w:rsidRDefault="00893342" w:rsidP="00606D98">
      <w:pPr>
        <w:pStyle w:val="a3"/>
        <w:numPr>
          <w:ilvl w:val="0"/>
          <w:numId w:val="6"/>
        </w:num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position w:val="-26"/>
          <w:lang w:val="el-GR"/>
        </w:rPr>
        <w:object w:dxaOrig="480" w:dyaOrig="680">
          <v:shape id="_x0000_i1052" type="#_x0000_t75" style="width:24pt;height:33.6pt" o:ole="" fillcolor="window">
            <v:imagedata r:id="rId6" o:title=""/>
          </v:shape>
          <o:OLEObject Type="Embed" ProgID="Equation.3" ShapeID="_x0000_i1052" DrawAspect="Content" ObjectID="_1482141722" r:id="rId38"/>
        </w:object>
      </w:r>
      <w:proofErr w:type="spellStart"/>
      <w:r w:rsidRPr="00FE33EA">
        <w:rPr>
          <w:rFonts w:ascii="Arial" w:hAnsi="Arial" w:cs="Arial"/>
          <w:lang w:val="el-GR"/>
        </w:rPr>
        <w:t>Β</w:t>
      </w:r>
      <w:r w:rsidRPr="00FE33EA">
        <w:rPr>
          <w:rFonts w:ascii="Arial" w:hAnsi="Arial" w:cs="Arial"/>
          <w:vertAlign w:val="subscript"/>
          <w:lang w:val="el-GR"/>
        </w:rPr>
        <w:t>x</w:t>
      </w:r>
      <w:proofErr w:type="spellEnd"/>
      <w:r w:rsidRPr="00FE33EA">
        <w:rPr>
          <w:rFonts w:ascii="Arial" w:hAnsi="Arial" w:cs="Arial"/>
          <w:lang w:val="el-GR"/>
        </w:rPr>
        <w:t>*</w:t>
      </w:r>
      <w:r w:rsidRPr="00FE33EA">
        <w:rPr>
          <w:rFonts w:ascii="Arial" w:hAnsi="Arial" w:cs="Arial"/>
          <w:position w:val="-36"/>
          <w:lang w:val="el-GR"/>
        </w:rPr>
        <w:object w:dxaOrig="460" w:dyaOrig="820">
          <v:shape id="_x0000_i1053" type="#_x0000_t75" style="width:23.4pt;height:41.4pt" o:ole="" fillcolor="window">
            <v:imagedata r:id="rId8" o:title=""/>
          </v:shape>
          <o:OLEObject Type="Embed" ProgID="Equation.3" ShapeID="_x0000_i1053" DrawAspect="Content" ObjectID="_1482141723" r:id="rId39"/>
        </w:object>
      </w:r>
      <w:r w:rsidRPr="00FE33EA">
        <w:rPr>
          <w:rFonts w:ascii="Arial" w:hAnsi="Arial" w:cs="Arial"/>
          <w:position w:val="-6"/>
          <w:lang w:val="el-GR"/>
        </w:rPr>
        <w:object w:dxaOrig="520" w:dyaOrig="560">
          <v:shape id="_x0000_i1054" type="#_x0000_t75" style="width:26.4pt;height:27.6pt" o:ole="" fillcolor="window">
            <v:imagedata r:id="rId10" o:title=""/>
          </v:shape>
          <o:OLEObject Type="Embed" ProgID="Equation.3" ShapeID="_x0000_i1054" DrawAspect="Content" ObjectID="_1482141724" r:id="rId40"/>
        </w:object>
      </w:r>
      <w:r w:rsidRPr="00FE33EA">
        <w:rPr>
          <w:rFonts w:ascii="Arial" w:hAnsi="Arial" w:cs="Arial"/>
          <w:lang w:val="el-GR"/>
        </w:rPr>
        <w:t xml:space="preserve">+ </w:t>
      </w:r>
      <w:r w:rsidRPr="00FE33EA">
        <w:rPr>
          <w:rFonts w:ascii="Arial" w:hAnsi="Arial" w:cs="Arial"/>
          <w:position w:val="-26"/>
          <w:lang w:val="el-GR"/>
        </w:rPr>
        <w:object w:dxaOrig="480" w:dyaOrig="680">
          <v:shape id="_x0000_i1055" type="#_x0000_t75" style="width:24pt;height:33.6pt" o:ole="" fillcolor="window">
            <v:imagedata r:id="rId12" o:title=""/>
          </v:shape>
          <o:OLEObject Type="Embed" ProgID="Equation.3" ShapeID="_x0000_i1055" DrawAspect="Content" ObjectID="_1482141725" r:id="rId41"/>
        </w:object>
      </w:r>
      <w:proofErr w:type="spellStart"/>
      <w:r w:rsidRPr="00FE33EA">
        <w:rPr>
          <w:rFonts w:ascii="Arial" w:hAnsi="Arial" w:cs="Arial"/>
          <w:lang w:val="el-GR"/>
        </w:rPr>
        <w:t>Β</w:t>
      </w:r>
      <w:r w:rsidRPr="00FE33EA">
        <w:rPr>
          <w:rFonts w:ascii="Arial" w:hAnsi="Arial" w:cs="Arial"/>
          <w:vertAlign w:val="subscript"/>
          <w:lang w:val="el-GR"/>
        </w:rPr>
        <w:t>r</w:t>
      </w:r>
      <w:proofErr w:type="spellEnd"/>
      <w:r w:rsidRPr="00FE33EA">
        <w:rPr>
          <w:rFonts w:ascii="Arial" w:hAnsi="Arial" w:cs="Arial"/>
          <w:lang w:val="el-GR"/>
        </w:rPr>
        <w:t>*</w:t>
      </w:r>
      <w:r w:rsidRPr="00FE33EA">
        <w:rPr>
          <w:rFonts w:ascii="Arial" w:hAnsi="Arial" w:cs="Arial"/>
          <w:position w:val="-6"/>
          <w:lang w:val="el-GR"/>
        </w:rPr>
        <w:object w:dxaOrig="520" w:dyaOrig="560">
          <v:shape id="_x0000_i1056" type="#_x0000_t75" style="width:26.4pt;height:27.6pt" o:ole="" fillcolor="window">
            <v:imagedata r:id="rId14" o:title=""/>
          </v:shape>
          <o:OLEObject Type="Embed" ProgID="Equation.3" ShapeID="_x0000_i1056" DrawAspect="Content" ObjectID="_1482141726" r:id="rId42"/>
        </w:object>
      </w:r>
      <w:r w:rsidRPr="00FE33EA">
        <w:rPr>
          <w:rFonts w:ascii="Arial" w:hAnsi="Arial" w:cs="Arial"/>
          <w:lang w:val="el-GR"/>
        </w:rPr>
        <w:t xml:space="preserve">+ </w:t>
      </w:r>
      <w:proofErr w:type="spellStart"/>
      <w:r w:rsidRPr="00FE33EA">
        <w:rPr>
          <w:rFonts w:ascii="Arial" w:hAnsi="Arial" w:cs="Arial"/>
          <w:lang w:val="el-GR"/>
        </w:rPr>
        <w:t>Β</w:t>
      </w:r>
      <w:r w:rsidRPr="00FE33EA">
        <w:rPr>
          <w:rFonts w:ascii="Arial" w:hAnsi="Arial" w:cs="Arial"/>
          <w:vertAlign w:val="subscript"/>
          <w:lang w:val="el-GR"/>
        </w:rPr>
        <w:t>x</w:t>
      </w:r>
      <w:proofErr w:type="spellEnd"/>
      <w:r w:rsidRPr="00FE33EA">
        <w:rPr>
          <w:rFonts w:ascii="Arial" w:hAnsi="Arial" w:cs="Arial"/>
          <w:lang w:val="el-GR"/>
        </w:rPr>
        <w:t>*</w:t>
      </w:r>
      <w:r w:rsidRPr="00FE33EA">
        <w:rPr>
          <w:rFonts w:ascii="Arial" w:hAnsi="Arial" w:cs="Arial"/>
          <w:position w:val="-6"/>
          <w:lang w:val="el-GR"/>
        </w:rPr>
        <w:object w:dxaOrig="520" w:dyaOrig="560">
          <v:shape id="_x0000_i1057" type="#_x0000_t75" style="width:26.4pt;height:27.6pt" o:ole="" fillcolor="window">
            <v:imagedata r:id="rId43" o:title=""/>
          </v:shape>
          <o:OLEObject Type="Embed" ProgID="Equation.3" ShapeID="_x0000_i1057" DrawAspect="Content" ObjectID="_1482141727" r:id="rId44"/>
        </w:object>
      </w:r>
    </w:p>
    <w:p w:rsidR="00893342" w:rsidRPr="00FE33EA" w:rsidRDefault="00893342" w:rsidP="00771CCD">
      <w:pPr>
        <w:pStyle w:val="a7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Άτομο με σημερινή ηλικία τα 45 και εισόδου στο πλάνο τα 35 θα λάβει στα 65 σύνταξη ίση με 1% του τελικού μισθού. Στα 45 η παροχή βελτιώνεται σε 2% του τελικού μισθού. Με βάση τις</w:t>
      </w:r>
      <w:r w:rsidRPr="00FE33EA">
        <w:rPr>
          <w:rFonts w:ascii="Arial" w:eastAsiaTheme="minorEastAsia" w:hAnsi="Arial" w:cs="Arial"/>
          <w:lang w:val="el-GR"/>
        </w:rPr>
        <w:t xml:space="preserve"> συναρτήσεις μετατροπής του παρακάτω πίνακα και </w:t>
      </w:r>
      <w:r w:rsidRPr="00FE33EA">
        <w:rPr>
          <w:rFonts w:ascii="Arial" w:hAnsi="Arial" w:cs="Arial"/>
          <w:lang w:val="el-GR"/>
        </w:rPr>
        <w:t xml:space="preserve"> γνωρίζοντας ότι S</w:t>
      </w:r>
      <w:r w:rsidRPr="00FE33EA">
        <w:rPr>
          <w:rFonts w:ascii="Arial" w:hAnsi="Arial" w:cs="Arial"/>
          <w:vertAlign w:val="subscript"/>
          <w:lang w:val="el-GR"/>
        </w:rPr>
        <w:t>64</w:t>
      </w:r>
      <w:r w:rsidRPr="00FE33EA">
        <w:rPr>
          <w:rFonts w:ascii="Arial" w:hAnsi="Arial" w:cs="Arial"/>
          <w:lang w:val="el-GR"/>
        </w:rPr>
        <w:t xml:space="preserve"> = 66.666,67€, </w:t>
      </w:r>
      <m:oMath>
        <m:sSubSup>
          <m:sSubSupPr>
            <m:ctrlPr>
              <w:rPr>
                <w:rFonts w:ascii="Cambria Math" w:hAnsi="Cambria Math" w:cs="Arial"/>
                <w:lang w:val="el-GR"/>
              </w:rPr>
            </m:ctrlPr>
          </m:sSubSupPr>
          <m:e>
            <m:acc>
              <m:accPr>
                <m:chr m:val="̈"/>
                <m:ctrlPr>
                  <w:rPr>
                    <w:rFonts w:ascii="Cambria Math" w:hAnsi="Cambria Math" w:cs="Arial"/>
                    <w:lang w:val="el-G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el-GR"/>
                  </w:rPr>
                  <m:t xml:space="preserve"> α 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Arial"/>
                    <w:lang w:val="el-G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el-GR"/>
                  </w:rPr>
                  <m:t>65</m:t>
                </m:r>
              </m:e>
              <m:sub/>
            </m:sSub>
            <m:r>
              <m:rPr>
                <m:sty m:val="p"/>
              </m:rPr>
              <w:rPr>
                <w:rFonts w:ascii="Cambria Math" w:hAnsi="Cambria Math" w:cs="Arial"/>
                <w:lang w:val="el-GR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lang w:val="el-GR"/>
              </w:rPr>
              <m:t>(12)</m:t>
            </m:r>
          </m:sup>
        </m:sSubSup>
        <m:r>
          <m:rPr>
            <m:sty m:val="p"/>
          </m:rPr>
          <w:rPr>
            <w:rFonts w:ascii="Cambria Math" w:hAnsi="Cambria Math" w:cs="Arial"/>
            <w:lang w:val="el-GR"/>
          </w:rPr>
          <m:t>=6,67</m:t>
        </m:r>
      </m:oMath>
      <w:r w:rsidRPr="00FE33EA">
        <w:rPr>
          <w:rFonts w:ascii="Arial" w:eastAsiaTheme="minorEastAsia" w:hAnsi="Arial" w:cs="Arial"/>
          <w:lang w:val="el-GR"/>
        </w:rPr>
        <w:t>, το κανονικό κόστος πριν και μετά τη βελτίωση είναι αντίστοιχα NC</w:t>
      </w:r>
      <w:r w:rsidRPr="00FE33EA">
        <w:rPr>
          <w:rFonts w:ascii="Arial" w:eastAsiaTheme="minorEastAsia" w:hAnsi="Arial" w:cs="Arial"/>
          <w:vertAlign w:val="subscript"/>
          <w:lang w:val="el-GR"/>
        </w:rPr>
        <w:t xml:space="preserve">45 </w:t>
      </w:r>
      <w:r w:rsidRPr="00FE33EA">
        <w:rPr>
          <w:rFonts w:ascii="Arial" w:eastAsiaTheme="minorEastAsia" w:hAnsi="Arial" w:cs="Arial"/>
          <w:lang w:val="el-GR"/>
        </w:rPr>
        <w:t>= 30 και NC’</w:t>
      </w:r>
      <w:r w:rsidRPr="00FE33EA">
        <w:rPr>
          <w:rFonts w:ascii="Arial" w:eastAsiaTheme="minorEastAsia" w:hAnsi="Arial" w:cs="Arial"/>
          <w:vertAlign w:val="subscript"/>
          <w:lang w:val="el-GR"/>
        </w:rPr>
        <w:t>45</w:t>
      </w:r>
      <w:r w:rsidRPr="00FE33EA">
        <w:rPr>
          <w:rFonts w:ascii="Arial" w:eastAsiaTheme="minorEastAsia" w:hAnsi="Arial" w:cs="Arial"/>
          <w:lang w:val="el-GR"/>
        </w:rPr>
        <w:t xml:space="preserve">  = 45,56, </w:t>
      </w:r>
      <m:oMath>
        <m:sSub>
          <m:sSubPr>
            <m:ctrlPr>
              <w:rPr>
                <w:rFonts w:ascii="Cambria Math" w:eastAsiaTheme="minorEastAsia" w:hAnsi="Cambria Math" w:cs="Arial"/>
                <w:lang w:val="el-GR"/>
              </w:rPr>
            </m:ctrlPr>
          </m:sSubPr>
          <m:e>
            <m:sPre>
              <m:sPrePr>
                <m:ctrlPr>
                  <w:rPr>
                    <w:rFonts w:ascii="Cambria Math" w:eastAsiaTheme="minorEastAsia" w:hAnsi="Cambria Math" w:cs="Arial"/>
                    <w:lang w:val="el-GR"/>
                  </w:rPr>
                </m:ctrlPr>
              </m:sPrePr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lang w:val="el-GR"/>
                  </w:rPr>
                  <m:t>20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lang w:val="el-GR"/>
                  </w:rPr>
                  <m:t>Ε</m:t>
                </m:r>
              </m:e>
            </m:sPre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lang w:val="el-GR"/>
              </w:rPr>
              <m:t>45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lang w:val="el-GR"/>
          </w:rPr>
          <m:t>=0,33</m:t>
        </m:r>
      </m:oMath>
      <w:r w:rsidRPr="00FE33EA">
        <w:rPr>
          <w:rFonts w:ascii="Arial" w:eastAsiaTheme="minorEastAsia" w:hAnsi="Arial" w:cs="Arial"/>
          <w:lang w:val="el-GR"/>
        </w:rPr>
        <w:t xml:space="preserve"> και F =0  </w:t>
      </w:r>
      <w:r w:rsidRPr="00FE33EA">
        <w:rPr>
          <w:rFonts w:ascii="Arial" w:hAnsi="Arial" w:cs="Arial"/>
          <w:lang w:val="el-GR"/>
        </w:rPr>
        <w:t xml:space="preserve">η αναλογιστική ζημία κάτω από την ΕΑΝ  στα 45 ισούται προς:  </w:t>
      </w:r>
      <w:r w:rsidRPr="00FE33EA">
        <w:rPr>
          <w:rFonts w:ascii="Arial" w:eastAsiaTheme="minorEastAsia" w:hAnsi="Arial" w:cs="Arial"/>
          <w:lang w:val="el-GR"/>
        </w:rPr>
        <w:t xml:space="preserve"> </w:t>
      </w:r>
    </w:p>
    <w:tbl>
      <w:tblPr>
        <w:tblStyle w:val="a4"/>
        <w:tblW w:w="0" w:type="auto"/>
        <w:jc w:val="center"/>
        <w:tblLook w:val="04A0"/>
      </w:tblPr>
      <w:tblGrid>
        <w:gridCol w:w="936"/>
        <w:gridCol w:w="1276"/>
        <w:gridCol w:w="1843"/>
      </w:tblGrid>
      <w:tr w:rsidR="00893342" w:rsidRPr="00FE33EA" w:rsidTr="003D3916">
        <w:trPr>
          <w:jc w:val="center"/>
        </w:trPr>
        <w:tc>
          <w:tcPr>
            <w:tcW w:w="936" w:type="dxa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x</w:t>
            </w:r>
          </w:p>
        </w:tc>
        <w:tc>
          <w:tcPr>
            <w:tcW w:w="1276" w:type="dxa"/>
          </w:tcPr>
          <w:p w:rsidR="00893342" w:rsidRPr="00FE33EA" w:rsidRDefault="00D908AF" w:rsidP="003D3916">
            <w:pPr>
              <w:jc w:val="both"/>
              <w:rPr>
                <w:rFonts w:ascii="Arial" w:hAnsi="Arial" w:cs="Arial"/>
                <w:lang w:val="el-G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l-GR"/>
                      </w:rPr>
                    </m:ctrlPr>
                  </m:sSubPr>
                  <m:e>
                    <m:sPre>
                      <m:sPrePr>
                        <m:ctrlPr>
                          <w:rPr>
                            <w:rFonts w:ascii="Cambria Math" w:hAnsi="Cambria Math" w:cs="Arial"/>
                            <w:i/>
                            <w:lang w:val="el-GR"/>
                          </w:rPr>
                        </m:ctrlPr>
                      </m:sPrePr>
                      <m:sub/>
                      <m:sup>
                        <m:r>
                          <w:rPr>
                            <w:rFonts w:ascii="Cambria Math" w:hAnsi="Cambria Math" w:cs="Arial"/>
                            <w:lang w:val="el-GR"/>
                          </w:rPr>
                          <m:t>s</m:t>
                        </m:r>
                      </m:sup>
                      <m:e>
                        <m:r>
                          <w:rPr>
                            <w:rFonts w:ascii="Cambria Math" w:hAnsi="Cambria Math" w:cs="Arial"/>
                            <w:lang w:val="el-GR"/>
                          </w:rPr>
                          <m:t>D</m:t>
                        </m:r>
                      </m:e>
                    </m:sPre>
                  </m:e>
                  <m:sub>
                    <m:r>
                      <w:rPr>
                        <w:rFonts w:ascii="Cambria Math" w:hAnsi="Cambria Math" w:cs="Arial"/>
                        <w:lang w:val="el-GR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1843" w:type="dxa"/>
          </w:tcPr>
          <w:p w:rsidR="00893342" w:rsidRPr="00FE33EA" w:rsidRDefault="00D908AF" w:rsidP="003D3916">
            <w:pPr>
              <w:jc w:val="both"/>
              <w:rPr>
                <w:rFonts w:ascii="Arial" w:hAnsi="Arial" w:cs="Arial"/>
                <w:lang w:val="el-GR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lang w:val="el-GR"/>
                    </w:rPr>
                  </m:ctrlPr>
                </m:sSubPr>
                <m:e>
                  <m:sPre>
                    <m:sPrePr>
                      <m:ctrlPr>
                        <w:rPr>
                          <w:rFonts w:ascii="Cambria Math" w:hAnsi="Cambria Math" w:cs="Arial"/>
                          <w:i/>
                          <w:lang w:val="el-GR"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hAnsi="Cambria Math" w:cs="Arial"/>
                          <w:lang w:val="el-GR"/>
                        </w:rPr>
                        <m:t>s</m:t>
                      </m:r>
                    </m:sup>
                    <m:e>
                      <m:r>
                        <w:rPr>
                          <w:rFonts w:ascii="Cambria Math" w:hAnsi="Cambria Math" w:cs="Arial"/>
                          <w:lang w:val="el-GR"/>
                        </w:rPr>
                        <m:t>N</m:t>
                      </m:r>
                    </m:e>
                  </m:sPre>
                </m:e>
                <m:sub>
                  <m:r>
                    <w:rPr>
                      <w:rFonts w:ascii="Cambria Math" w:hAnsi="Cambria Math" w:cs="Arial"/>
                      <w:lang w:val="el-GR"/>
                    </w:rPr>
                    <m:t>x</m:t>
                  </m:r>
                </m:sub>
              </m:sSub>
            </m:oMath>
            <w:r w:rsidR="00893342" w:rsidRPr="00FE33EA">
              <w:rPr>
                <w:rFonts w:ascii="Arial" w:eastAsiaTheme="minorEastAsia" w:hAnsi="Arial" w:cs="Arial"/>
                <w:lang w:val="el-GR"/>
              </w:rPr>
              <w:t xml:space="preserve"> -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lang w:val="el-GR"/>
                    </w:rPr>
                  </m:ctrlPr>
                </m:sSubPr>
                <m:e>
                  <m:sPre>
                    <m:sPrePr>
                      <m:ctrlPr>
                        <w:rPr>
                          <w:rFonts w:ascii="Cambria Math" w:hAnsi="Cambria Math" w:cs="Arial"/>
                          <w:i/>
                          <w:lang w:val="el-GR"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hAnsi="Cambria Math" w:cs="Arial"/>
                          <w:lang w:val="el-GR"/>
                        </w:rPr>
                        <m:t>s</m:t>
                      </m:r>
                    </m:sup>
                    <m:e>
                      <m:r>
                        <w:rPr>
                          <w:rFonts w:ascii="Cambria Math" w:hAnsi="Cambria Math" w:cs="Arial"/>
                          <w:lang w:val="el-GR"/>
                        </w:rPr>
                        <m:t>N</m:t>
                      </m:r>
                    </m:e>
                  </m:sPre>
                </m:e>
                <m:sub>
                  <m:r>
                    <w:rPr>
                      <w:rFonts w:ascii="Cambria Math" w:hAnsi="Cambria Math" w:cs="Arial"/>
                      <w:lang w:val="el-GR"/>
                    </w:rPr>
                    <m:t>65</m:t>
                  </m:r>
                </m:sub>
              </m:sSub>
            </m:oMath>
          </w:p>
        </w:tc>
      </w:tr>
      <w:tr w:rsidR="00893342" w:rsidRPr="00FE33EA" w:rsidTr="003D3916">
        <w:trPr>
          <w:jc w:val="center"/>
        </w:trPr>
        <w:tc>
          <w:tcPr>
            <w:tcW w:w="936" w:type="dxa"/>
          </w:tcPr>
          <w:p w:rsidR="00893342" w:rsidRPr="00FE33EA" w:rsidRDefault="00893342" w:rsidP="003D3916">
            <w:pPr>
              <w:jc w:val="right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35</w:t>
            </w:r>
          </w:p>
        </w:tc>
        <w:tc>
          <w:tcPr>
            <w:tcW w:w="1276" w:type="dxa"/>
          </w:tcPr>
          <w:p w:rsidR="00893342" w:rsidRPr="00FE33EA" w:rsidRDefault="00893342" w:rsidP="003D3916">
            <w:pPr>
              <w:jc w:val="right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1.600</w:t>
            </w:r>
          </w:p>
        </w:tc>
        <w:tc>
          <w:tcPr>
            <w:tcW w:w="1843" w:type="dxa"/>
          </w:tcPr>
          <w:p w:rsidR="00893342" w:rsidRPr="00FE33EA" w:rsidRDefault="00893342" w:rsidP="003D3916">
            <w:pPr>
              <w:jc w:val="right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52.700</w:t>
            </w:r>
          </w:p>
        </w:tc>
      </w:tr>
      <w:tr w:rsidR="00893342" w:rsidRPr="00FE33EA" w:rsidTr="003D3916">
        <w:trPr>
          <w:jc w:val="center"/>
        </w:trPr>
        <w:tc>
          <w:tcPr>
            <w:tcW w:w="936" w:type="dxa"/>
          </w:tcPr>
          <w:p w:rsidR="00893342" w:rsidRPr="00FE33EA" w:rsidRDefault="00893342" w:rsidP="003D3916">
            <w:pPr>
              <w:jc w:val="right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45</w:t>
            </w:r>
          </w:p>
        </w:tc>
        <w:tc>
          <w:tcPr>
            <w:tcW w:w="1276" w:type="dxa"/>
          </w:tcPr>
          <w:p w:rsidR="00893342" w:rsidRPr="00FE33EA" w:rsidRDefault="00893342" w:rsidP="003D3916">
            <w:pPr>
              <w:jc w:val="right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1.620</w:t>
            </w:r>
          </w:p>
        </w:tc>
        <w:tc>
          <w:tcPr>
            <w:tcW w:w="1843" w:type="dxa"/>
          </w:tcPr>
          <w:p w:rsidR="00893342" w:rsidRPr="00FE33EA" w:rsidRDefault="00893342" w:rsidP="003D3916">
            <w:pPr>
              <w:jc w:val="right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36.600</w:t>
            </w:r>
          </w:p>
        </w:tc>
      </w:tr>
    </w:tbl>
    <w:p w:rsidR="00893342" w:rsidRPr="00FE33EA" w:rsidRDefault="00893342" w:rsidP="00606D98">
      <w:pPr>
        <w:pStyle w:val="a7"/>
        <w:numPr>
          <w:ilvl w:val="1"/>
          <w:numId w:val="5"/>
        </w:numPr>
        <w:spacing w:after="120"/>
        <w:ind w:leftChars="190" w:left="1100" w:hanging="720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1604</w:t>
      </w:r>
    </w:p>
    <w:p w:rsidR="00893342" w:rsidRPr="00FE33EA" w:rsidRDefault="00893342" w:rsidP="00606D98">
      <w:pPr>
        <w:pStyle w:val="a7"/>
        <w:numPr>
          <w:ilvl w:val="1"/>
          <w:numId w:val="5"/>
        </w:numPr>
        <w:spacing w:after="120"/>
        <w:ind w:leftChars="190" w:left="1100" w:hanging="720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1607</w:t>
      </w:r>
    </w:p>
    <w:p w:rsidR="00893342" w:rsidRPr="00FE33EA" w:rsidRDefault="00893342" w:rsidP="00606D98">
      <w:pPr>
        <w:pStyle w:val="a7"/>
        <w:numPr>
          <w:ilvl w:val="1"/>
          <w:numId w:val="5"/>
        </w:numPr>
        <w:spacing w:after="120"/>
        <w:ind w:leftChars="190" w:left="1100" w:hanging="720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1611</w:t>
      </w:r>
    </w:p>
    <w:p w:rsidR="00893342" w:rsidRPr="00FE33EA" w:rsidRDefault="00893342" w:rsidP="00606D98">
      <w:pPr>
        <w:pStyle w:val="a7"/>
        <w:numPr>
          <w:ilvl w:val="1"/>
          <w:numId w:val="5"/>
        </w:numPr>
        <w:spacing w:after="120"/>
        <w:ind w:leftChars="190" w:left="1100" w:hanging="720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1614</w:t>
      </w:r>
    </w:p>
    <w:p w:rsidR="00893342" w:rsidRPr="00FE33EA" w:rsidRDefault="00893342" w:rsidP="00606D98">
      <w:pPr>
        <w:pStyle w:val="a7"/>
        <w:numPr>
          <w:ilvl w:val="1"/>
          <w:numId w:val="5"/>
        </w:numPr>
        <w:spacing w:after="120"/>
        <w:ind w:leftChars="190" w:left="1100" w:hanging="720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1617</w:t>
      </w:r>
    </w:p>
    <w:p w:rsidR="00893342" w:rsidRPr="00FE33EA" w:rsidRDefault="00893342">
      <w:p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br w:type="page"/>
      </w:r>
    </w:p>
    <w:p w:rsidR="00893342" w:rsidRPr="00FE33EA" w:rsidRDefault="00893342" w:rsidP="00771CCD">
      <w:pPr>
        <w:pStyle w:val="a7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lastRenderedPageBreak/>
        <w:t xml:space="preserve">Γνωρίζοντας ότι η ηλικία εισόδου e στην ασφάλιση είναι τα 20 έτη, η ηλικία εξόδου r τα 65, και η καταληκτική ηλικία w τα 100, η μέλλουσα ζωή της γενιάς των ενεργών μέχρι τη συνταξιοδότηση που εισέρχονται στο σύστημα (t = 0) σε διάρκεια 20 ετών είναι:        </w:t>
      </w:r>
    </w:p>
    <w:p w:rsidR="00893342" w:rsidRPr="00FE33EA" w:rsidRDefault="00893342" w:rsidP="00893342">
      <w:p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noProof/>
          <w:lang w:val="el-GR" w:eastAsia="el-GR"/>
        </w:rPr>
        <w:drawing>
          <wp:inline distT="0" distB="0" distL="0" distR="0">
            <wp:extent cx="5210175" cy="458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42" w:rsidRPr="00FE33EA" w:rsidRDefault="00893342" w:rsidP="00606D98">
      <w:pPr>
        <w:pStyle w:val="a7"/>
        <w:numPr>
          <w:ilvl w:val="0"/>
          <w:numId w:val="7"/>
        </w:num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 xml:space="preserve">   450,0</w:t>
      </w:r>
    </w:p>
    <w:p w:rsidR="00893342" w:rsidRPr="00FE33EA" w:rsidRDefault="00893342" w:rsidP="00606D98">
      <w:pPr>
        <w:pStyle w:val="a7"/>
        <w:numPr>
          <w:ilvl w:val="0"/>
          <w:numId w:val="7"/>
        </w:num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 xml:space="preserve">   900,0</w:t>
      </w:r>
    </w:p>
    <w:p w:rsidR="00893342" w:rsidRPr="00FE33EA" w:rsidRDefault="00893342" w:rsidP="00606D98">
      <w:pPr>
        <w:pStyle w:val="a7"/>
        <w:numPr>
          <w:ilvl w:val="0"/>
          <w:numId w:val="7"/>
        </w:num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1.012,5</w:t>
      </w:r>
    </w:p>
    <w:p w:rsidR="00893342" w:rsidRPr="00FE33EA" w:rsidRDefault="00893342" w:rsidP="00606D98">
      <w:pPr>
        <w:pStyle w:val="a7"/>
        <w:numPr>
          <w:ilvl w:val="0"/>
          <w:numId w:val="7"/>
        </w:num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1.575,0</w:t>
      </w:r>
    </w:p>
    <w:p w:rsidR="00893342" w:rsidRPr="00FE33EA" w:rsidRDefault="00893342" w:rsidP="00606D98">
      <w:pPr>
        <w:pStyle w:val="a7"/>
        <w:numPr>
          <w:ilvl w:val="0"/>
          <w:numId w:val="7"/>
        </w:num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2.025,0</w:t>
      </w:r>
    </w:p>
    <w:p w:rsidR="00893342" w:rsidRPr="00FE33EA" w:rsidRDefault="00893342" w:rsidP="00893342">
      <w:pPr>
        <w:rPr>
          <w:rFonts w:ascii="Arial" w:hAnsi="Arial" w:cs="Arial"/>
          <w:lang w:val="el-GR"/>
        </w:rPr>
      </w:pPr>
    </w:p>
    <w:p w:rsidR="00893342" w:rsidRPr="00FE33EA" w:rsidRDefault="00893342" w:rsidP="00606D98">
      <w:pPr>
        <w:pStyle w:val="a7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Ποιο από τα παρακάτω αληθεύει:</w:t>
      </w:r>
    </w:p>
    <w:p w:rsidR="00893342" w:rsidRPr="00FE33EA" w:rsidRDefault="00893342" w:rsidP="00606D98">
      <w:pPr>
        <w:pStyle w:val="a7"/>
        <w:numPr>
          <w:ilvl w:val="0"/>
          <w:numId w:val="9"/>
        </w:numPr>
        <w:spacing w:after="120"/>
        <w:ind w:left="924" w:hanging="357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Ο αναλογιστής της κοινωνικής ασφάλισης παρακολουθεί τη βιωσιμότητα του συνταξιοδοτικού συστήματος.</w:t>
      </w:r>
    </w:p>
    <w:p w:rsidR="00893342" w:rsidRPr="00FE33EA" w:rsidRDefault="00893342" w:rsidP="00606D98">
      <w:pPr>
        <w:pStyle w:val="a7"/>
        <w:numPr>
          <w:ilvl w:val="0"/>
          <w:numId w:val="9"/>
        </w:numPr>
        <w:spacing w:after="120"/>
        <w:ind w:left="924" w:hanging="357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Η κύρια σύνταξη αποδίδεται από κάθε φορέα κοινωνικής ασφάλισης</w:t>
      </w:r>
    </w:p>
    <w:p w:rsidR="00893342" w:rsidRPr="00FE33EA" w:rsidRDefault="00893342" w:rsidP="00606D98">
      <w:pPr>
        <w:pStyle w:val="a7"/>
        <w:numPr>
          <w:ilvl w:val="0"/>
          <w:numId w:val="9"/>
        </w:numPr>
        <w:spacing w:after="120"/>
        <w:ind w:left="924" w:hanging="357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 xml:space="preserve">Η είσοδος των μεταναστών στην κοινωνική ασφάλιση έχει θετική συμβολή στο δημογραφικό πρόβλημα που αντιμετωπίζει η χώρα μας. </w:t>
      </w:r>
    </w:p>
    <w:p w:rsidR="00893342" w:rsidRPr="00FE33EA" w:rsidRDefault="00893342" w:rsidP="00893342">
      <w:pPr>
        <w:pStyle w:val="a7"/>
        <w:spacing w:after="120"/>
        <w:ind w:left="1281"/>
        <w:rPr>
          <w:rFonts w:ascii="Arial" w:hAnsi="Arial" w:cs="Arial"/>
          <w:lang w:val="el-GR"/>
        </w:rPr>
      </w:pPr>
    </w:p>
    <w:p w:rsidR="00893342" w:rsidRPr="00FE33EA" w:rsidRDefault="00893342" w:rsidP="00606D98">
      <w:pPr>
        <w:pStyle w:val="a7"/>
        <w:numPr>
          <w:ilvl w:val="0"/>
          <w:numId w:val="10"/>
        </w:numPr>
        <w:spacing w:after="12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Κανένα</w:t>
      </w:r>
    </w:p>
    <w:p w:rsidR="00893342" w:rsidRPr="00FE33EA" w:rsidRDefault="00893342" w:rsidP="00606D98">
      <w:pPr>
        <w:pStyle w:val="a7"/>
        <w:numPr>
          <w:ilvl w:val="0"/>
          <w:numId w:val="10"/>
        </w:numPr>
        <w:spacing w:after="12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Μόνο το I</w:t>
      </w:r>
    </w:p>
    <w:p w:rsidR="00893342" w:rsidRPr="00FE33EA" w:rsidRDefault="00893342" w:rsidP="00606D98">
      <w:pPr>
        <w:pStyle w:val="a7"/>
        <w:numPr>
          <w:ilvl w:val="0"/>
          <w:numId w:val="10"/>
        </w:numPr>
        <w:spacing w:after="12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Μόνο τα Ι και II</w:t>
      </w:r>
    </w:p>
    <w:p w:rsidR="00893342" w:rsidRPr="00FE33EA" w:rsidRDefault="00893342" w:rsidP="00606D98">
      <w:pPr>
        <w:pStyle w:val="a7"/>
        <w:numPr>
          <w:ilvl w:val="0"/>
          <w:numId w:val="10"/>
        </w:numPr>
        <w:spacing w:after="12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Μόνο τα Ι και  III</w:t>
      </w:r>
    </w:p>
    <w:p w:rsidR="00893342" w:rsidRPr="00FE33EA" w:rsidRDefault="00893342" w:rsidP="00606D98">
      <w:pPr>
        <w:pStyle w:val="a7"/>
        <w:numPr>
          <w:ilvl w:val="0"/>
          <w:numId w:val="10"/>
        </w:numPr>
        <w:spacing w:after="12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Όλα</w:t>
      </w:r>
    </w:p>
    <w:p w:rsidR="00893342" w:rsidRPr="00FE33EA" w:rsidRDefault="00893342" w:rsidP="00893342">
      <w:pPr>
        <w:pStyle w:val="a7"/>
        <w:spacing w:after="120"/>
        <w:rPr>
          <w:rFonts w:ascii="Arial" w:hAnsi="Arial" w:cs="Arial"/>
          <w:lang w:val="el-GR"/>
        </w:rPr>
      </w:pPr>
    </w:p>
    <w:p w:rsidR="00893342" w:rsidRPr="00FE33EA" w:rsidRDefault="00893342" w:rsidP="00893342">
      <w:p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br w:type="page"/>
      </w:r>
    </w:p>
    <w:p w:rsidR="00893342" w:rsidRPr="00FE33EA" w:rsidRDefault="00893342" w:rsidP="00606D98">
      <w:pPr>
        <w:pStyle w:val="a3"/>
        <w:numPr>
          <w:ilvl w:val="0"/>
          <w:numId w:val="15"/>
        </w:numPr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lastRenderedPageBreak/>
        <w:t>Οι κινήσεις και το ύψος του λογαριασμού για την διετία 1/1/2007  - 1/1/2009 έχουν ως εξής:</w:t>
      </w:r>
    </w:p>
    <w:tbl>
      <w:tblPr>
        <w:tblW w:w="0" w:type="auto"/>
        <w:jc w:val="center"/>
        <w:tblLayout w:type="fixed"/>
        <w:tblLook w:val="0000"/>
      </w:tblPr>
      <w:tblGrid>
        <w:gridCol w:w="2023"/>
        <w:gridCol w:w="1521"/>
        <w:gridCol w:w="2349"/>
      </w:tblGrid>
      <w:tr w:rsidR="00893342" w:rsidRPr="00FE33EA" w:rsidTr="003D3916">
        <w:trPr>
          <w:jc w:val="center"/>
        </w:trPr>
        <w:tc>
          <w:tcPr>
            <w:tcW w:w="2023" w:type="dxa"/>
          </w:tcPr>
          <w:p w:rsidR="00893342" w:rsidRPr="00FE33EA" w:rsidRDefault="00893342" w:rsidP="003D3916">
            <w:pPr>
              <w:pStyle w:val="a3"/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 xml:space="preserve">  Ημερομηνία</w:t>
            </w:r>
          </w:p>
        </w:tc>
        <w:tc>
          <w:tcPr>
            <w:tcW w:w="1521" w:type="dxa"/>
          </w:tcPr>
          <w:p w:rsidR="00893342" w:rsidRPr="00FE33EA" w:rsidRDefault="00893342" w:rsidP="003D3916">
            <w:pPr>
              <w:pStyle w:val="a3"/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Κίνηση</w:t>
            </w:r>
          </w:p>
        </w:tc>
        <w:tc>
          <w:tcPr>
            <w:tcW w:w="2349" w:type="dxa"/>
          </w:tcPr>
          <w:p w:rsidR="00893342" w:rsidRPr="00FE33EA" w:rsidRDefault="00893342" w:rsidP="003D3916">
            <w:pPr>
              <w:pStyle w:val="a3"/>
              <w:spacing w:after="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Ύψος Λογαριασμού μετά την Κίνηση</w:t>
            </w:r>
          </w:p>
        </w:tc>
      </w:tr>
      <w:tr w:rsidR="00893342" w:rsidRPr="00FE33EA" w:rsidTr="003D3916">
        <w:trPr>
          <w:jc w:val="center"/>
        </w:trPr>
        <w:tc>
          <w:tcPr>
            <w:tcW w:w="2023" w:type="dxa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snapToGrid w:val="0"/>
                <w:color w:val="000000"/>
                <w:lang w:val="el-GR" w:eastAsia="en-US"/>
              </w:rPr>
            </w:pPr>
            <w:r w:rsidRPr="00FE33EA">
              <w:rPr>
                <w:rFonts w:ascii="Arial" w:hAnsi="Arial" w:cs="Arial"/>
                <w:snapToGrid w:val="0"/>
                <w:color w:val="000000"/>
                <w:lang w:val="el-GR" w:eastAsia="en-US"/>
              </w:rPr>
              <w:t>1/1/2007</w:t>
            </w:r>
          </w:p>
        </w:tc>
        <w:tc>
          <w:tcPr>
            <w:tcW w:w="1521" w:type="dxa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snapToGrid w:val="0"/>
                <w:color w:val="000000"/>
                <w:lang w:val="el-GR" w:eastAsia="en-US"/>
              </w:rPr>
            </w:pPr>
            <w:r w:rsidRPr="00FE33EA">
              <w:rPr>
                <w:rFonts w:ascii="Arial" w:hAnsi="Arial" w:cs="Arial"/>
                <w:snapToGrid w:val="0"/>
                <w:color w:val="000000"/>
                <w:lang w:val="el-GR" w:eastAsia="en-US"/>
              </w:rPr>
              <w:t>1000</w:t>
            </w:r>
          </w:p>
        </w:tc>
        <w:tc>
          <w:tcPr>
            <w:tcW w:w="2349" w:type="dxa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snapToGrid w:val="0"/>
                <w:color w:val="000000"/>
                <w:lang w:val="el-GR" w:eastAsia="en-US"/>
              </w:rPr>
            </w:pPr>
            <w:r w:rsidRPr="00FE33EA">
              <w:rPr>
                <w:rFonts w:ascii="Arial" w:hAnsi="Arial" w:cs="Arial"/>
                <w:snapToGrid w:val="0"/>
                <w:color w:val="000000"/>
                <w:lang w:val="el-GR" w:eastAsia="en-US"/>
              </w:rPr>
              <w:t>1000</w:t>
            </w:r>
          </w:p>
        </w:tc>
      </w:tr>
      <w:tr w:rsidR="00893342" w:rsidRPr="00FE33EA" w:rsidTr="003D3916">
        <w:trPr>
          <w:jc w:val="center"/>
        </w:trPr>
        <w:tc>
          <w:tcPr>
            <w:tcW w:w="2023" w:type="dxa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snapToGrid w:val="0"/>
                <w:color w:val="000000"/>
                <w:lang w:val="el-GR" w:eastAsia="en-US"/>
              </w:rPr>
            </w:pPr>
            <w:r w:rsidRPr="00FE33EA">
              <w:rPr>
                <w:rFonts w:ascii="Arial" w:hAnsi="Arial" w:cs="Arial"/>
                <w:snapToGrid w:val="0"/>
                <w:color w:val="000000"/>
                <w:lang w:val="el-GR" w:eastAsia="en-US"/>
              </w:rPr>
              <w:t>1/7/2007</w:t>
            </w:r>
          </w:p>
        </w:tc>
        <w:tc>
          <w:tcPr>
            <w:tcW w:w="1521" w:type="dxa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snapToGrid w:val="0"/>
                <w:color w:val="000000"/>
                <w:lang w:val="el-GR" w:eastAsia="en-US"/>
              </w:rPr>
            </w:pPr>
            <w:r w:rsidRPr="00FE33EA">
              <w:rPr>
                <w:rFonts w:ascii="Arial" w:hAnsi="Arial" w:cs="Arial"/>
                <w:snapToGrid w:val="0"/>
                <w:color w:val="000000"/>
                <w:lang w:val="el-GR" w:eastAsia="en-US"/>
              </w:rPr>
              <w:t xml:space="preserve"> 500</w:t>
            </w:r>
          </w:p>
        </w:tc>
        <w:tc>
          <w:tcPr>
            <w:tcW w:w="2349" w:type="dxa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snapToGrid w:val="0"/>
                <w:color w:val="000000"/>
                <w:lang w:val="el-GR" w:eastAsia="en-US"/>
              </w:rPr>
            </w:pPr>
            <w:r w:rsidRPr="00FE33EA">
              <w:rPr>
                <w:rFonts w:ascii="Arial" w:hAnsi="Arial" w:cs="Arial"/>
                <w:snapToGrid w:val="0"/>
                <w:color w:val="000000"/>
                <w:lang w:val="el-GR" w:eastAsia="en-US"/>
              </w:rPr>
              <w:t>1525</w:t>
            </w:r>
          </w:p>
        </w:tc>
      </w:tr>
      <w:tr w:rsidR="00893342" w:rsidRPr="00FE33EA" w:rsidTr="003D3916">
        <w:trPr>
          <w:jc w:val="center"/>
        </w:trPr>
        <w:tc>
          <w:tcPr>
            <w:tcW w:w="2023" w:type="dxa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snapToGrid w:val="0"/>
                <w:color w:val="000000"/>
                <w:lang w:val="el-GR" w:eastAsia="en-US"/>
              </w:rPr>
            </w:pPr>
            <w:r w:rsidRPr="00FE33EA">
              <w:rPr>
                <w:rFonts w:ascii="Arial" w:hAnsi="Arial" w:cs="Arial"/>
                <w:snapToGrid w:val="0"/>
                <w:color w:val="000000"/>
                <w:lang w:val="el-GR" w:eastAsia="en-US"/>
              </w:rPr>
              <w:t>1/4/2008</w:t>
            </w:r>
          </w:p>
        </w:tc>
        <w:tc>
          <w:tcPr>
            <w:tcW w:w="1521" w:type="dxa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snapToGrid w:val="0"/>
                <w:color w:val="000000"/>
                <w:lang w:val="el-GR" w:eastAsia="en-US"/>
              </w:rPr>
            </w:pPr>
            <w:r w:rsidRPr="00FE33EA">
              <w:rPr>
                <w:rFonts w:ascii="Arial" w:hAnsi="Arial" w:cs="Arial"/>
                <w:snapToGrid w:val="0"/>
                <w:color w:val="000000"/>
                <w:lang w:val="el-GR" w:eastAsia="en-US"/>
              </w:rPr>
              <w:t>-1000</w:t>
            </w:r>
          </w:p>
        </w:tc>
        <w:tc>
          <w:tcPr>
            <w:tcW w:w="2349" w:type="dxa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snapToGrid w:val="0"/>
                <w:color w:val="000000"/>
                <w:lang w:val="el-GR" w:eastAsia="en-US"/>
              </w:rPr>
            </w:pPr>
            <w:r w:rsidRPr="00FE33EA">
              <w:rPr>
                <w:rFonts w:ascii="Arial" w:hAnsi="Arial" w:cs="Arial"/>
                <w:snapToGrid w:val="0"/>
                <w:color w:val="000000"/>
                <w:lang w:val="el-GR" w:eastAsia="en-US"/>
              </w:rPr>
              <w:t xml:space="preserve"> 550</w:t>
            </w:r>
          </w:p>
        </w:tc>
      </w:tr>
      <w:tr w:rsidR="00893342" w:rsidRPr="00FE33EA" w:rsidTr="003D3916">
        <w:trPr>
          <w:jc w:val="center"/>
        </w:trPr>
        <w:tc>
          <w:tcPr>
            <w:tcW w:w="2023" w:type="dxa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snapToGrid w:val="0"/>
                <w:color w:val="000000"/>
                <w:lang w:val="el-GR" w:eastAsia="en-US"/>
              </w:rPr>
            </w:pPr>
            <w:r w:rsidRPr="00FE33EA">
              <w:rPr>
                <w:rFonts w:ascii="Arial" w:hAnsi="Arial" w:cs="Arial"/>
                <w:snapToGrid w:val="0"/>
                <w:color w:val="000000"/>
                <w:lang w:val="el-GR" w:eastAsia="en-US"/>
              </w:rPr>
              <w:t>1/7/2008</w:t>
            </w:r>
          </w:p>
        </w:tc>
        <w:tc>
          <w:tcPr>
            <w:tcW w:w="1521" w:type="dxa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snapToGrid w:val="0"/>
                <w:color w:val="000000"/>
                <w:lang w:val="el-GR" w:eastAsia="en-US"/>
              </w:rPr>
            </w:pPr>
            <w:r w:rsidRPr="00FE33EA">
              <w:rPr>
                <w:rFonts w:ascii="Arial" w:hAnsi="Arial" w:cs="Arial"/>
                <w:snapToGrid w:val="0"/>
                <w:color w:val="000000"/>
                <w:lang w:val="el-GR" w:eastAsia="en-US"/>
              </w:rPr>
              <w:t>2000</w:t>
            </w:r>
          </w:p>
        </w:tc>
        <w:tc>
          <w:tcPr>
            <w:tcW w:w="2349" w:type="dxa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snapToGrid w:val="0"/>
                <w:color w:val="000000"/>
                <w:lang w:val="el-GR" w:eastAsia="en-US"/>
              </w:rPr>
            </w:pPr>
            <w:r w:rsidRPr="00FE33EA">
              <w:rPr>
                <w:rFonts w:ascii="Arial" w:hAnsi="Arial" w:cs="Arial"/>
                <w:snapToGrid w:val="0"/>
                <w:color w:val="000000"/>
                <w:lang w:val="el-GR" w:eastAsia="en-US"/>
              </w:rPr>
              <w:t>2575</w:t>
            </w:r>
          </w:p>
        </w:tc>
      </w:tr>
      <w:tr w:rsidR="00893342" w:rsidRPr="00FE33EA" w:rsidTr="003D3916">
        <w:trPr>
          <w:jc w:val="center"/>
        </w:trPr>
        <w:tc>
          <w:tcPr>
            <w:tcW w:w="2023" w:type="dxa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snapToGrid w:val="0"/>
                <w:color w:val="000000"/>
                <w:lang w:val="el-GR" w:eastAsia="en-US"/>
              </w:rPr>
            </w:pPr>
            <w:r w:rsidRPr="00FE33EA">
              <w:rPr>
                <w:rFonts w:ascii="Arial" w:hAnsi="Arial" w:cs="Arial"/>
                <w:snapToGrid w:val="0"/>
                <w:color w:val="000000"/>
                <w:lang w:val="el-GR" w:eastAsia="en-US"/>
              </w:rPr>
              <w:t>1/1/2009</w:t>
            </w:r>
          </w:p>
        </w:tc>
        <w:tc>
          <w:tcPr>
            <w:tcW w:w="1521" w:type="dxa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snapToGrid w:val="0"/>
                <w:color w:val="000000"/>
                <w:lang w:val="el-GR" w:eastAsia="en-US"/>
              </w:rPr>
            </w:pPr>
            <w:r w:rsidRPr="00FE33EA">
              <w:rPr>
                <w:rFonts w:ascii="Arial" w:hAnsi="Arial" w:cs="Arial"/>
                <w:snapToGrid w:val="0"/>
                <w:color w:val="000000"/>
                <w:lang w:val="el-GR" w:eastAsia="en-US"/>
              </w:rPr>
              <w:t>-2500</w:t>
            </w:r>
          </w:p>
        </w:tc>
        <w:tc>
          <w:tcPr>
            <w:tcW w:w="2349" w:type="dxa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snapToGrid w:val="0"/>
                <w:color w:val="000000"/>
                <w:lang w:val="el-GR" w:eastAsia="en-US"/>
              </w:rPr>
            </w:pPr>
            <w:r w:rsidRPr="00FE33EA">
              <w:rPr>
                <w:rFonts w:ascii="Arial" w:hAnsi="Arial" w:cs="Arial"/>
                <w:snapToGrid w:val="0"/>
                <w:color w:val="000000"/>
                <w:lang w:val="el-GR" w:eastAsia="en-US"/>
              </w:rPr>
              <w:t>0</w:t>
            </w:r>
          </w:p>
        </w:tc>
      </w:tr>
    </w:tbl>
    <w:p w:rsidR="00893342" w:rsidRPr="00FE33EA" w:rsidRDefault="00893342" w:rsidP="00893342">
      <w:pPr>
        <w:pStyle w:val="a3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Ποιο η ετήσια χρονοσταθμισμένη απόδοση (time weighted annual rate of return) για την συγκεκριμένη περίοδο;</w:t>
      </w:r>
    </w:p>
    <w:p w:rsidR="00893342" w:rsidRPr="00FE33EA" w:rsidRDefault="00893342" w:rsidP="00606D98">
      <w:pPr>
        <w:pStyle w:val="a3"/>
        <w:numPr>
          <w:ilvl w:val="0"/>
          <w:numId w:val="14"/>
        </w:num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1,03%</w:t>
      </w:r>
    </w:p>
    <w:p w:rsidR="00893342" w:rsidRPr="00FE33EA" w:rsidRDefault="00893342" w:rsidP="00606D98">
      <w:pPr>
        <w:pStyle w:val="a3"/>
        <w:numPr>
          <w:ilvl w:val="0"/>
          <w:numId w:val="14"/>
        </w:num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1,32%</w:t>
      </w:r>
    </w:p>
    <w:p w:rsidR="00893342" w:rsidRPr="00FE33EA" w:rsidRDefault="00893342" w:rsidP="00606D98">
      <w:pPr>
        <w:pStyle w:val="a3"/>
        <w:numPr>
          <w:ilvl w:val="0"/>
          <w:numId w:val="14"/>
        </w:num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1,89%</w:t>
      </w:r>
    </w:p>
    <w:p w:rsidR="00893342" w:rsidRPr="00FE33EA" w:rsidRDefault="00893342" w:rsidP="00606D98">
      <w:pPr>
        <w:pStyle w:val="a3"/>
        <w:numPr>
          <w:ilvl w:val="0"/>
          <w:numId w:val="14"/>
        </w:num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2,41%</w:t>
      </w:r>
    </w:p>
    <w:p w:rsidR="00893342" w:rsidRPr="00FE33EA" w:rsidRDefault="00893342" w:rsidP="00606D98">
      <w:pPr>
        <w:pStyle w:val="a3"/>
        <w:numPr>
          <w:ilvl w:val="0"/>
          <w:numId w:val="14"/>
        </w:numPr>
        <w:rPr>
          <w:rFonts w:ascii="Arial" w:eastAsia="SimSun" w:hAnsi="Arial" w:cs="Arial"/>
          <w:lang w:val="el-GR"/>
        </w:rPr>
      </w:pPr>
      <w:r w:rsidRPr="00FE33EA">
        <w:rPr>
          <w:rFonts w:ascii="Arial" w:hAnsi="Arial" w:cs="Arial"/>
          <w:lang w:val="el-GR"/>
        </w:rPr>
        <w:t>2,83%</w:t>
      </w:r>
    </w:p>
    <w:p w:rsidR="00893342" w:rsidRPr="00FE33EA" w:rsidRDefault="00893342" w:rsidP="00893342">
      <w:pPr>
        <w:pStyle w:val="a7"/>
        <w:ind w:left="360"/>
        <w:jc w:val="both"/>
        <w:rPr>
          <w:rFonts w:ascii="Arial" w:hAnsi="Arial" w:cs="Arial"/>
          <w:lang w:val="el-GR"/>
        </w:rPr>
      </w:pPr>
    </w:p>
    <w:p w:rsidR="00893342" w:rsidRPr="00FE33EA" w:rsidRDefault="00893342" w:rsidP="00771CCD">
      <w:pPr>
        <w:pStyle w:val="a3"/>
        <w:numPr>
          <w:ilvl w:val="0"/>
          <w:numId w:val="15"/>
        </w:numPr>
        <w:ind w:left="357" w:hanging="357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 xml:space="preserve">Η αναλογιστική αποτίμηση την 1/1/2014 δείχνει αναλογιστική ζημία για τη χρήση του 2013 προερχόμενη από το χαμηλότερο του αναμενόμενου επιτοκίου απόδοσης επενδύσεων. Δεδομένου ότι δεν υπάρχει κάποιο άλλο αναλογιστικό κέρδος/αναλογιστική ζημία μέχρι την ημερομηνία αυτή ποιο από τα παρακάτω αληθεύει: </w:t>
      </w:r>
    </w:p>
    <w:p w:rsidR="00893342" w:rsidRPr="00FE33EA" w:rsidRDefault="00893342" w:rsidP="00606D98">
      <w:pPr>
        <w:pStyle w:val="a7"/>
        <w:numPr>
          <w:ilvl w:val="0"/>
          <w:numId w:val="11"/>
        </w:numPr>
        <w:spacing w:after="120"/>
        <w:ind w:left="360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Κάτω από την Αθροιστική μέθοδο κοστολόγησης (Aggregate) η αναλογιστική ζημία αυξάνει την παρούσα αξία του μελλοντικού κανονικού κόστους (future Normal Cost).</w:t>
      </w:r>
    </w:p>
    <w:p w:rsidR="00893342" w:rsidRPr="00FE33EA" w:rsidRDefault="00893342" w:rsidP="00606D98">
      <w:pPr>
        <w:pStyle w:val="a7"/>
        <w:numPr>
          <w:ilvl w:val="0"/>
          <w:numId w:val="11"/>
        </w:numPr>
        <w:spacing w:after="120"/>
        <w:ind w:left="360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 xml:space="preserve">Κάτω από τη Unit Credit η αναλογιστική ζημία αυξάνει το κανονικό κόστος του 2014.  </w:t>
      </w:r>
    </w:p>
    <w:p w:rsidR="00893342" w:rsidRPr="00FE33EA" w:rsidRDefault="00893342" w:rsidP="00606D98">
      <w:pPr>
        <w:pStyle w:val="a7"/>
        <w:numPr>
          <w:ilvl w:val="0"/>
          <w:numId w:val="11"/>
        </w:numPr>
        <w:spacing w:after="120"/>
        <w:ind w:left="360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 xml:space="preserve">Κάτω από τη Frozen Initial Liability η αναλογιστική ζημία αυξάνει τη μη χρηματοδοτημένη αρχική υποχρέωση. </w:t>
      </w:r>
    </w:p>
    <w:p w:rsidR="00893342" w:rsidRPr="00FE33EA" w:rsidRDefault="00893342" w:rsidP="00893342">
      <w:pPr>
        <w:pStyle w:val="a7"/>
        <w:spacing w:after="120"/>
        <w:ind w:left="1281"/>
        <w:rPr>
          <w:rFonts w:ascii="Arial" w:hAnsi="Arial" w:cs="Arial"/>
          <w:lang w:val="el-GR"/>
        </w:rPr>
      </w:pPr>
    </w:p>
    <w:p w:rsidR="00893342" w:rsidRPr="00FE33EA" w:rsidRDefault="00893342" w:rsidP="00771CCD">
      <w:pPr>
        <w:pStyle w:val="a7"/>
        <w:numPr>
          <w:ilvl w:val="0"/>
          <w:numId w:val="12"/>
        </w:numPr>
        <w:spacing w:after="120"/>
        <w:ind w:left="357" w:hanging="357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Μόνο το I</w:t>
      </w:r>
    </w:p>
    <w:p w:rsidR="00893342" w:rsidRPr="00FE33EA" w:rsidRDefault="00893342" w:rsidP="00771CCD">
      <w:pPr>
        <w:pStyle w:val="a7"/>
        <w:numPr>
          <w:ilvl w:val="0"/>
          <w:numId w:val="12"/>
        </w:numPr>
        <w:spacing w:after="120"/>
        <w:ind w:left="357" w:hanging="357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Μόνο το II</w:t>
      </w:r>
    </w:p>
    <w:p w:rsidR="00893342" w:rsidRPr="00FE33EA" w:rsidRDefault="00893342" w:rsidP="00771CCD">
      <w:pPr>
        <w:pStyle w:val="a7"/>
        <w:numPr>
          <w:ilvl w:val="0"/>
          <w:numId w:val="12"/>
        </w:numPr>
        <w:spacing w:after="120"/>
        <w:ind w:left="357" w:hanging="357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Μόνο τα Ι και II</w:t>
      </w:r>
    </w:p>
    <w:p w:rsidR="00893342" w:rsidRPr="00FE33EA" w:rsidRDefault="00893342" w:rsidP="00771CCD">
      <w:pPr>
        <w:pStyle w:val="a7"/>
        <w:numPr>
          <w:ilvl w:val="0"/>
          <w:numId w:val="12"/>
        </w:numPr>
        <w:spacing w:after="120"/>
        <w:ind w:left="357" w:hanging="357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Μόνο τα I και IIΙ</w:t>
      </w:r>
    </w:p>
    <w:p w:rsidR="00893342" w:rsidRPr="00FE33EA" w:rsidRDefault="00893342" w:rsidP="00771CCD">
      <w:pPr>
        <w:pStyle w:val="a7"/>
        <w:numPr>
          <w:ilvl w:val="0"/>
          <w:numId w:val="12"/>
        </w:numPr>
        <w:spacing w:after="120"/>
        <w:ind w:left="357" w:hanging="357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Μόνο το II και ΙΙΙ</w:t>
      </w:r>
    </w:p>
    <w:p w:rsidR="00893342" w:rsidRPr="00FE33EA" w:rsidRDefault="00893342" w:rsidP="00893342">
      <w:pPr>
        <w:pStyle w:val="a7"/>
        <w:spacing w:after="120"/>
        <w:rPr>
          <w:rFonts w:ascii="Arial" w:hAnsi="Arial" w:cs="Arial"/>
          <w:lang w:val="el-GR"/>
        </w:rPr>
      </w:pPr>
    </w:p>
    <w:p w:rsidR="00893342" w:rsidRPr="00FE33EA" w:rsidRDefault="00893342" w:rsidP="00606D98">
      <w:pPr>
        <w:pStyle w:val="a3"/>
        <w:numPr>
          <w:ilvl w:val="0"/>
          <w:numId w:val="15"/>
        </w:numPr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Σε συνταξιοδοτικό σχήμα όπου εφαρμόζεται η Unit credit η εισφορά των €12.000  του 2013 πληρώνεται σε δύο ισόποσες δόσεις: την 1/1/2013 και την 1/7/2013, ενώ μέσα στη χρήση δεν αποδίδονται παροχές. Με βάση τον παρακάτω πίνακα και γνωρίζοντας ότι το επιτόκιο είναι 7% η αναλογιστική ζημία στη χρήση ισούται προς: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2660"/>
        <w:gridCol w:w="1559"/>
        <w:gridCol w:w="1276"/>
      </w:tblGrid>
      <w:tr w:rsidR="00893342" w:rsidRPr="00FE33EA" w:rsidTr="003D3916">
        <w:trPr>
          <w:jc w:val="center"/>
        </w:trPr>
        <w:tc>
          <w:tcPr>
            <w:tcW w:w="2660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FE33EA">
              <w:rPr>
                <w:rFonts w:ascii="Arial" w:hAnsi="Arial" w:cs="Arial"/>
                <w:color w:val="000000"/>
                <w:lang w:val="el-GR"/>
              </w:rPr>
              <w:t>1/1/2013</w:t>
            </w:r>
          </w:p>
        </w:tc>
        <w:tc>
          <w:tcPr>
            <w:tcW w:w="1276" w:type="dxa"/>
            <w:vAlign w:val="center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FE33EA">
              <w:rPr>
                <w:rFonts w:ascii="Arial" w:hAnsi="Arial" w:cs="Arial"/>
                <w:color w:val="000000"/>
                <w:lang w:val="el-GR"/>
              </w:rPr>
              <w:t>1/1/2014</w:t>
            </w:r>
          </w:p>
        </w:tc>
      </w:tr>
      <w:tr w:rsidR="00893342" w:rsidRPr="00FE33EA" w:rsidTr="003D3916">
        <w:trPr>
          <w:jc w:val="center"/>
        </w:trPr>
        <w:tc>
          <w:tcPr>
            <w:tcW w:w="2660" w:type="dxa"/>
            <w:vAlign w:val="center"/>
          </w:tcPr>
          <w:p w:rsidR="00893342" w:rsidRPr="00FE33EA" w:rsidRDefault="00893342" w:rsidP="003D3916">
            <w:pPr>
              <w:spacing w:before="40" w:after="40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Κανονικό κόστος 1/1</w:t>
            </w:r>
          </w:p>
        </w:tc>
        <w:tc>
          <w:tcPr>
            <w:tcW w:w="1559" w:type="dxa"/>
            <w:vAlign w:val="center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FE33EA">
              <w:rPr>
                <w:rFonts w:ascii="Arial" w:hAnsi="Arial" w:cs="Arial"/>
                <w:color w:val="000000"/>
                <w:lang w:val="el-GR"/>
              </w:rPr>
              <w:t xml:space="preserve"> 8.000</w:t>
            </w:r>
          </w:p>
        </w:tc>
        <w:tc>
          <w:tcPr>
            <w:tcW w:w="1276" w:type="dxa"/>
            <w:vAlign w:val="center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FE33EA">
              <w:rPr>
                <w:rFonts w:ascii="Arial" w:hAnsi="Arial" w:cs="Arial"/>
                <w:color w:val="000000"/>
                <w:lang w:val="el-GR"/>
              </w:rPr>
              <w:t xml:space="preserve"> 9.000</w:t>
            </w:r>
          </w:p>
        </w:tc>
      </w:tr>
      <w:tr w:rsidR="00893342" w:rsidRPr="00FE33EA" w:rsidTr="003D3916">
        <w:trPr>
          <w:jc w:val="center"/>
        </w:trPr>
        <w:tc>
          <w:tcPr>
            <w:tcW w:w="2660" w:type="dxa"/>
            <w:vAlign w:val="center"/>
          </w:tcPr>
          <w:p w:rsidR="00893342" w:rsidRPr="00FE33EA" w:rsidRDefault="00893342" w:rsidP="003D3916">
            <w:pPr>
              <w:spacing w:before="40" w:after="40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Αναλογιστική Υποχρέωση</w:t>
            </w:r>
          </w:p>
        </w:tc>
        <w:tc>
          <w:tcPr>
            <w:tcW w:w="1559" w:type="dxa"/>
            <w:vAlign w:val="center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FE33EA">
              <w:rPr>
                <w:rFonts w:ascii="Arial" w:hAnsi="Arial" w:cs="Arial"/>
                <w:color w:val="000000"/>
                <w:lang w:val="el-GR"/>
              </w:rPr>
              <w:t>40.000</w:t>
            </w:r>
          </w:p>
        </w:tc>
        <w:tc>
          <w:tcPr>
            <w:tcW w:w="1276" w:type="dxa"/>
            <w:vAlign w:val="center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FE33EA">
              <w:rPr>
                <w:rFonts w:ascii="Arial" w:hAnsi="Arial" w:cs="Arial"/>
                <w:color w:val="000000"/>
                <w:lang w:val="el-GR"/>
              </w:rPr>
              <w:t>53.000</w:t>
            </w:r>
          </w:p>
        </w:tc>
      </w:tr>
      <w:tr w:rsidR="00893342" w:rsidRPr="00FE33EA" w:rsidTr="003D3916">
        <w:trPr>
          <w:jc w:val="center"/>
        </w:trPr>
        <w:tc>
          <w:tcPr>
            <w:tcW w:w="2660" w:type="dxa"/>
            <w:vAlign w:val="center"/>
          </w:tcPr>
          <w:p w:rsidR="00893342" w:rsidRPr="00FE33EA" w:rsidRDefault="00893342" w:rsidP="003D3916">
            <w:pPr>
              <w:spacing w:before="40" w:after="40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Περιουσία</w:t>
            </w:r>
          </w:p>
        </w:tc>
        <w:tc>
          <w:tcPr>
            <w:tcW w:w="1559" w:type="dxa"/>
            <w:vAlign w:val="center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FE33EA">
              <w:rPr>
                <w:rFonts w:ascii="Arial" w:hAnsi="Arial" w:cs="Arial"/>
                <w:color w:val="000000"/>
                <w:lang w:val="el-GR"/>
              </w:rPr>
              <w:t>0</w:t>
            </w:r>
          </w:p>
        </w:tc>
        <w:tc>
          <w:tcPr>
            <w:tcW w:w="1276" w:type="dxa"/>
            <w:vAlign w:val="center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FE33EA">
              <w:rPr>
                <w:rFonts w:ascii="Arial" w:hAnsi="Arial" w:cs="Arial"/>
                <w:color w:val="000000"/>
                <w:lang w:val="el-GR"/>
              </w:rPr>
              <w:t>12.840</w:t>
            </w:r>
          </w:p>
        </w:tc>
      </w:tr>
    </w:tbl>
    <w:p w:rsidR="00893342" w:rsidRPr="00FE33EA" w:rsidRDefault="00893342" w:rsidP="00893342">
      <w:pPr>
        <w:spacing w:after="120"/>
        <w:rPr>
          <w:rFonts w:ascii="Arial" w:hAnsi="Arial" w:cs="Arial"/>
          <w:lang w:val="el-GR"/>
        </w:rPr>
      </w:pPr>
    </w:p>
    <w:p w:rsidR="00893342" w:rsidRPr="00FE33EA" w:rsidRDefault="00893342" w:rsidP="00771CCD">
      <w:pPr>
        <w:pStyle w:val="a7"/>
        <w:numPr>
          <w:ilvl w:val="0"/>
          <w:numId w:val="13"/>
        </w:numPr>
        <w:spacing w:after="120"/>
        <w:ind w:left="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1.010</w:t>
      </w:r>
    </w:p>
    <w:p w:rsidR="00893342" w:rsidRPr="00FE33EA" w:rsidRDefault="00893342" w:rsidP="00771CCD">
      <w:pPr>
        <w:pStyle w:val="a7"/>
        <w:numPr>
          <w:ilvl w:val="0"/>
          <w:numId w:val="13"/>
        </w:numPr>
        <w:spacing w:after="120"/>
        <w:ind w:left="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1.220</w:t>
      </w:r>
    </w:p>
    <w:p w:rsidR="00893342" w:rsidRPr="00FE33EA" w:rsidRDefault="00893342" w:rsidP="00771CCD">
      <w:pPr>
        <w:pStyle w:val="a7"/>
        <w:numPr>
          <w:ilvl w:val="0"/>
          <w:numId w:val="13"/>
        </w:numPr>
        <w:spacing w:after="120"/>
        <w:ind w:left="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1.430</w:t>
      </w:r>
    </w:p>
    <w:p w:rsidR="00893342" w:rsidRPr="00FE33EA" w:rsidRDefault="00893342" w:rsidP="00771CCD">
      <w:pPr>
        <w:pStyle w:val="a7"/>
        <w:numPr>
          <w:ilvl w:val="0"/>
          <w:numId w:val="13"/>
        </w:numPr>
        <w:spacing w:after="120"/>
        <w:ind w:left="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1.640</w:t>
      </w:r>
    </w:p>
    <w:p w:rsidR="00893342" w:rsidRPr="00FE33EA" w:rsidRDefault="00893342" w:rsidP="00771CCD">
      <w:pPr>
        <w:pStyle w:val="a7"/>
        <w:numPr>
          <w:ilvl w:val="0"/>
          <w:numId w:val="13"/>
        </w:numPr>
        <w:spacing w:after="120"/>
        <w:ind w:left="0"/>
        <w:rPr>
          <w:rFonts w:ascii="Arial" w:hAnsi="Arial" w:cs="Arial"/>
          <w:vanish/>
          <w:lang w:val="el-GR"/>
          <w:specVanish/>
        </w:rPr>
      </w:pPr>
      <w:r w:rsidRPr="00FE33EA">
        <w:rPr>
          <w:rFonts w:ascii="Arial" w:hAnsi="Arial" w:cs="Arial"/>
          <w:lang w:val="el-GR"/>
        </w:rPr>
        <w:t>1.850</w:t>
      </w:r>
    </w:p>
    <w:p w:rsidR="00893342" w:rsidRPr="00FE33EA" w:rsidRDefault="00893342" w:rsidP="00771CCD">
      <w:pPr>
        <w:spacing w:after="12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 xml:space="preserve"> </w:t>
      </w:r>
    </w:p>
    <w:p w:rsidR="00893342" w:rsidRPr="00FE33EA" w:rsidRDefault="00893342">
      <w:pPr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br w:type="page"/>
      </w:r>
    </w:p>
    <w:p w:rsidR="00893342" w:rsidRPr="00FE33EA" w:rsidRDefault="00893342" w:rsidP="00606D98">
      <w:pPr>
        <w:pStyle w:val="a3"/>
        <w:numPr>
          <w:ilvl w:val="0"/>
          <w:numId w:val="17"/>
        </w:numPr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lastRenderedPageBreak/>
        <w:t>Σε συνταξιοδοτικό σχήμα όπου εφαρμόζεται η μέθοδος της Παγωμένης Αρχικής Υποχρέωσης συνεισφέρουν από κοινού εργοδότης και εργαζόμενοι με 1% των αποδοχών τους και σε αναλογία 1:10. Εάν την 1/1/2010 οι συνολικές αποδοχές ανέρχονται σε €1.000.000 η παρούσα αξία των συνολικών μελλοντικών παροχών ισούται προς €1.300.000 η μη χρηματοδοτημένη αναλογιστική υποχρέωση προς €120.000, και η μέση ράντα προς 8,5, η περιουσία του σχήματος ανέρχεται σε:</w:t>
      </w:r>
    </w:p>
    <w:p w:rsidR="00893342" w:rsidRPr="00FE33EA" w:rsidRDefault="00893342" w:rsidP="00606D98">
      <w:pPr>
        <w:pStyle w:val="a7"/>
        <w:numPr>
          <w:ilvl w:val="0"/>
          <w:numId w:val="16"/>
        </w:numPr>
        <w:spacing w:after="12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450.000</w:t>
      </w:r>
    </w:p>
    <w:p w:rsidR="00893342" w:rsidRPr="00FE33EA" w:rsidRDefault="00893342" w:rsidP="00606D98">
      <w:pPr>
        <w:pStyle w:val="a7"/>
        <w:numPr>
          <w:ilvl w:val="0"/>
          <w:numId w:val="16"/>
        </w:numPr>
        <w:spacing w:after="12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415.000</w:t>
      </w:r>
    </w:p>
    <w:p w:rsidR="00893342" w:rsidRPr="00FE33EA" w:rsidRDefault="00893342" w:rsidP="00606D98">
      <w:pPr>
        <w:pStyle w:val="a7"/>
        <w:numPr>
          <w:ilvl w:val="0"/>
          <w:numId w:val="16"/>
        </w:numPr>
        <w:spacing w:after="12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365.000</w:t>
      </w:r>
    </w:p>
    <w:p w:rsidR="00893342" w:rsidRPr="00FE33EA" w:rsidRDefault="00893342" w:rsidP="00606D98">
      <w:pPr>
        <w:pStyle w:val="a7"/>
        <w:numPr>
          <w:ilvl w:val="0"/>
          <w:numId w:val="16"/>
        </w:numPr>
        <w:spacing w:after="12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330.000</w:t>
      </w:r>
    </w:p>
    <w:p w:rsidR="00893342" w:rsidRPr="00FE33EA" w:rsidRDefault="00893342" w:rsidP="00606D98">
      <w:pPr>
        <w:pStyle w:val="a7"/>
        <w:numPr>
          <w:ilvl w:val="0"/>
          <w:numId w:val="16"/>
        </w:numPr>
        <w:spacing w:after="12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245.000</w:t>
      </w:r>
    </w:p>
    <w:p w:rsidR="00893342" w:rsidRPr="00FE33EA" w:rsidRDefault="00893342" w:rsidP="00893342">
      <w:pPr>
        <w:pStyle w:val="a7"/>
        <w:spacing w:after="120"/>
        <w:rPr>
          <w:rFonts w:ascii="Arial" w:hAnsi="Arial" w:cs="Arial"/>
          <w:lang w:val="el-GR"/>
        </w:rPr>
      </w:pPr>
    </w:p>
    <w:p w:rsidR="00893342" w:rsidRPr="00FE33EA" w:rsidRDefault="00893342" w:rsidP="00606D98">
      <w:pPr>
        <w:pStyle w:val="a7"/>
        <w:numPr>
          <w:ilvl w:val="0"/>
          <w:numId w:val="36"/>
        </w:numPr>
        <w:spacing w:after="120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Ποιο από τα παρακάτω αληθεύει για εργαζόμενο ηλικίας x που εισέρχεται σε ένα συνταξιοδοτικό πλάνο, και συνταξιοδοτείται στην ηλικία r&gt;x, δεδομένου μη αρνητικού επιτοκίου προεξόφλησης;</w:t>
      </w:r>
    </w:p>
    <w:p w:rsidR="00893342" w:rsidRPr="00FE33EA" w:rsidRDefault="00893342" w:rsidP="00893342">
      <w:pPr>
        <w:pStyle w:val="a7"/>
        <w:spacing w:after="120"/>
        <w:ind w:left="360"/>
        <w:jc w:val="both"/>
        <w:rPr>
          <w:rFonts w:ascii="Arial" w:eastAsiaTheme="minorEastAsia" w:hAnsi="Arial" w:cs="Arial"/>
          <w:lang w:val="el-GR"/>
        </w:rPr>
      </w:pPr>
    </w:p>
    <w:p w:rsidR="00893342" w:rsidRPr="00FE33EA" w:rsidRDefault="00893342" w:rsidP="00893342">
      <w:pPr>
        <w:pStyle w:val="a7"/>
        <w:spacing w:after="120"/>
        <w:ind w:left="1440" w:hanging="720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Ι) Το διανεμητικό ασφάλιστρο είναι μικρότερο ή ίσο του κεφαλαιοποιητικού ασφαλίστρου</w:t>
      </w:r>
    </w:p>
    <w:p w:rsidR="00893342" w:rsidRPr="00FE33EA" w:rsidRDefault="00893342" w:rsidP="00893342">
      <w:pPr>
        <w:pStyle w:val="a7"/>
        <w:spacing w:after="120"/>
        <w:ind w:left="1440" w:hanging="720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ΙΙ) Ο λόγος του κεφαλαιοποιητικού δια του διανεμητικού ασφαλίστρου είναι φθίνουσα συνάρτηση του επιτοκίου</w:t>
      </w:r>
    </w:p>
    <w:p w:rsidR="00893342" w:rsidRPr="00FE33EA" w:rsidRDefault="00893342" w:rsidP="00893342">
      <w:pPr>
        <w:pStyle w:val="a7"/>
        <w:spacing w:after="120"/>
        <w:ind w:left="1440" w:hanging="720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ΙII) Ο λόγος του κεφαλαιοποιητικού δια του διανεμητικού ασφαλίστρου είναι πάντα μεγαλύτερος της μονάδας</w:t>
      </w:r>
    </w:p>
    <w:p w:rsidR="00893342" w:rsidRPr="00FE33EA" w:rsidRDefault="00893342" w:rsidP="00893342">
      <w:pPr>
        <w:pStyle w:val="a7"/>
        <w:spacing w:after="120"/>
        <w:ind w:left="1440" w:hanging="720"/>
        <w:jc w:val="both"/>
        <w:rPr>
          <w:rFonts w:ascii="Arial" w:eastAsiaTheme="minorEastAsia" w:hAnsi="Arial" w:cs="Arial"/>
          <w:lang w:val="el-GR"/>
        </w:rPr>
      </w:pPr>
    </w:p>
    <w:p w:rsidR="00893342" w:rsidRPr="00FE33EA" w:rsidRDefault="00893342" w:rsidP="00771CCD">
      <w:pPr>
        <w:pStyle w:val="a7"/>
        <w:numPr>
          <w:ilvl w:val="1"/>
          <w:numId w:val="19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Μόνο το Ι και ΙΙ</w:t>
      </w:r>
    </w:p>
    <w:p w:rsidR="00893342" w:rsidRPr="00FE33EA" w:rsidRDefault="00893342" w:rsidP="00771CCD">
      <w:pPr>
        <w:pStyle w:val="a7"/>
        <w:numPr>
          <w:ilvl w:val="1"/>
          <w:numId w:val="19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Μόνο το Ι και ΙΙΙ</w:t>
      </w:r>
    </w:p>
    <w:p w:rsidR="00893342" w:rsidRPr="00FE33EA" w:rsidRDefault="00893342" w:rsidP="00771CCD">
      <w:pPr>
        <w:pStyle w:val="a7"/>
        <w:numPr>
          <w:ilvl w:val="1"/>
          <w:numId w:val="19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Μόνο το ΙΙ και ΙΙΙ</w:t>
      </w:r>
    </w:p>
    <w:p w:rsidR="00893342" w:rsidRPr="00FE33EA" w:rsidRDefault="00893342" w:rsidP="00771CCD">
      <w:pPr>
        <w:pStyle w:val="a7"/>
        <w:numPr>
          <w:ilvl w:val="1"/>
          <w:numId w:val="19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Μόνο το ΙΙ</w:t>
      </w:r>
    </w:p>
    <w:p w:rsidR="00893342" w:rsidRPr="00FE33EA" w:rsidRDefault="00893342" w:rsidP="00771CCD">
      <w:pPr>
        <w:pStyle w:val="a7"/>
        <w:numPr>
          <w:ilvl w:val="1"/>
          <w:numId w:val="19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Μόνο το ΙΙΙ</w:t>
      </w:r>
    </w:p>
    <w:p w:rsidR="00893342" w:rsidRPr="00FE33EA" w:rsidRDefault="00893342" w:rsidP="00893342">
      <w:pPr>
        <w:pStyle w:val="a7"/>
        <w:spacing w:after="120"/>
        <w:ind w:left="1440"/>
        <w:jc w:val="both"/>
        <w:rPr>
          <w:rFonts w:ascii="Arial" w:eastAsiaTheme="minorEastAsia" w:hAnsi="Arial" w:cs="Arial"/>
          <w:lang w:val="el-GR"/>
        </w:rPr>
      </w:pPr>
    </w:p>
    <w:p w:rsidR="00893342" w:rsidRPr="00FE33EA" w:rsidRDefault="00893342" w:rsidP="00606D98">
      <w:pPr>
        <w:pStyle w:val="a7"/>
        <w:numPr>
          <w:ilvl w:val="0"/>
          <w:numId w:val="36"/>
        </w:numPr>
        <w:spacing w:after="120"/>
        <w:ind w:left="357" w:hanging="357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 xml:space="preserve">Ποιο από τα παρακάτω αληθεύει για </w:t>
      </w:r>
      <w:r w:rsidRPr="00FE33EA">
        <w:rPr>
          <w:rFonts w:ascii="Arial" w:hAnsi="Arial" w:cs="Arial"/>
          <w:color w:val="FF0000"/>
          <w:lang w:val="el-GR"/>
        </w:rPr>
        <w:t>τις</w:t>
      </w:r>
      <w:r w:rsidRPr="00FE33EA">
        <w:rPr>
          <w:rFonts w:ascii="Arial" w:hAnsi="Arial" w:cs="Arial"/>
          <w:lang w:val="el-GR"/>
        </w:rPr>
        <w:t xml:space="preserve"> </w:t>
      </w:r>
      <w:r w:rsidRPr="00FE33EA">
        <w:rPr>
          <w:rFonts w:ascii="Arial" w:hAnsi="Arial" w:cs="Arial"/>
          <w:color w:val="FF0000"/>
          <w:lang w:val="el-GR"/>
        </w:rPr>
        <w:t>μεθόδους</w:t>
      </w:r>
      <w:r w:rsidRPr="00FE33EA">
        <w:rPr>
          <w:rFonts w:ascii="Arial" w:hAnsi="Arial" w:cs="Arial"/>
          <w:lang w:val="el-GR"/>
        </w:rPr>
        <w:t xml:space="preserve"> Individual Level Premium, </w:t>
      </w:r>
      <w:r w:rsidRPr="00FE33EA">
        <w:rPr>
          <w:rFonts w:ascii="Arial" w:hAnsi="Arial" w:cs="Arial"/>
          <w:color w:val="FF0000"/>
          <w:lang w:val="el-GR"/>
        </w:rPr>
        <w:t>Entry Age Normal και Unit Credit</w:t>
      </w:r>
      <w:r w:rsidRPr="00FE33EA">
        <w:rPr>
          <w:rFonts w:ascii="Arial" w:hAnsi="Arial" w:cs="Arial"/>
          <w:lang w:val="el-GR"/>
        </w:rPr>
        <w:t>;</w:t>
      </w:r>
    </w:p>
    <w:p w:rsidR="00893342" w:rsidRPr="00FE33EA" w:rsidRDefault="00893342" w:rsidP="00893342">
      <w:pPr>
        <w:pStyle w:val="a7"/>
        <w:spacing w:after="120"/>
        <w:ind w:left="0"/>
        <w:jc w:val="both"/>
        <w:rPr>
          <w:rFonts w:ascii="Arial" w:hAnsi="Arial" w:cs="Arial"/>
          <w:lang w:val="el-GR"/>
        </w:rPr>
      </w:pPr>
    </w:p>
    <w:p w:rsidR="00893342" w:rsidRPr="00FE33EA" w:rsidRDefault="00893342" w:rsidP="00606D98">
      <w:pPr>
        <w:pStyle w:val="a7"/>
        <w:numPr>
          <w:ilvl w:val="0"/>
          <w:numId w:val="18"/>
        </w:numPr>
        <w:spacing w:after="120"/>
        <w:ind w:left="1797" w:hanging="720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 xml:space="preserve">Στην ILP μπορεί να προκύψει  SC αλλά όχι στην ΕΑΝ και στην UC </w:t>
      </w:r>
    </w:p>
    <w:p w:rsidR="00893342" w:rsidRPr="00FE33EA" w:rsidRDefault="00893342" w:rsidP="00606D98">
      <w:pPr>
        <w:pStyle w:val="a7"/>
        <w:numPr>
          <w:ilvl w:val="0"/>
          <w:numId w:val="18"/>
        </w:numPr>
        <w:spacing w:after="120"/>
        <w:ind w:left="1797" w:hanging="720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 xml:space="preserve">Στην ILP αναγνωρίζονται Gains και Loses αλλά όχι στην ΕΑΝ και στην UC </w:t>
      </w:r>
    </w:p>
    <w:p w:rsidR="00893342" w:rsidRPr="00FE33EA" w:rsidRDefault="00893342" w:rsidP="00606D98">
      <w:pPr>
        <w:pStyle w:val="a7"/>
        <w:numPr>
          <w:ilvl w:val="0"/>
          <w:numId w:val="18"/>
        </w:numPr>
        <w:spacing w:after="120"/>
        <w:ind w:left="1797" w:hanging="720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 xml:space="preserve">Στην ILP αναγνωρίζονται  Gains και Loses αλλά όχι στην ΕΑΝ και στην UC </w:t>
      </w:r>
    </w:p>
    <w:p w:rsidR="00893342" w:rsidRPr="00FE33EA" w:rsidRDefault="00893342" w:rsidP="00606D98">
      <w:pPr>
        <w:pStyle w:val="a7"/>
        <w:numPr>
          <w:ilvl w:val="0"/>
          <w:numId w:val="18"/>
        </w:numPr>
        <w:spacing w:after="120"/>
        <w:ind w:left="1797" w:hanging="720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Στην ILP τα  Gains και Loses  αποσβένονται μέσω του NC</w:t>
      </w:r>
    </w:p>
    <w:p w:rsidR="00893342" w:rsidRPr="00FE33EA" w:rsidRDefault="00893342" w:rsidP="00893342">
      <w:pPr>
        <w:pStyle w:val="a7"/>
        <w:spacing w:after="120"/>
        <w:jc w:val="both"/>
        <w:rPr>
          <w:rFonts w:ascii="Arial" w:hAnsi="Arial" w:cs="Arial"/>
          <w:lang w:val="el-GR"/>
        </w:rPr>
      </w:pPr>
    </w:p>
    <w:p w:rsidR="00893342" w:rsidRPr="00FE33EA" w:rsidRDefault="00893342" w:rsidP="00893342">
      <w:pPr>
        <w:pStyle w:val="a7"/>
        <w:spacing w:after="120"/>
        <w:jc w:val="both"/>
        <w:rPr>
          <w:rFonts w:ascii="Arial" w:hAnsi="Arial" w:cs="Arial"/>
          <w:lang w:val="el-GR"/>
        </w:rPr>
      </w:pPr>
    </w:p>
    <w:p w:rsidR="00893342" w:rsidRPr="00FE33EA" w:rsidRDefault="00893342" w:rsidP="00771CCD">
      <w:pPr>
        <w:pStyle w:val="a7"/>
        <w:numPr>
          <w:ilvl w:val="1"/>
          <w:numId w:val="40"/>
        </w:numPr>
        <w:spacing w:after="120"/>
        <w:ind w:left="357" w:hanging="357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Μόνο το I και ΙΙ</w:t>
      </w:r>
    </w:p>
    <w:p w:rsidR="00893342" w:rsidRPr="00FE33EA" w:rsidRDefault="00893342" w:rsidP="00771CCD">
      <w:pPr>
        <w:pStyle w:val="a7"/>
        <w:numPr>
          <w:ilvl w:val="1"/>
          <w:numId w:val="40"/>
        </w:numPr>
        <w:spacing w:after="120"/>
        <w:ind w:left="357" w:hanging="357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Μόνο το IΙ και ΙΙΙ</w:t>
      </w:r>
    </w:p>
    <w:p w:rsidR="00893342" w:rsidRPr="00FE33EA" w:rsidRDefault="00893342" w:rsidP="00771CCD">
      <w:pPr>
        <w:pStyle w:val="a7"/>
        <w:numPr>
          <w:ilvl w:val="1"/>
          <w:numId w:val="40"/>
        </w:numPr>
        <w:spacing w:after="120"/>
        <w:ind w:left="357" w:hanging="357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Μόνο το I και ΙV</w:t>
      </w:r>
    </w:p>
    <w:p w:rsidR="00893342" w:rsidRPr="00FE33EA" w:rsidRDefault="00893342" w:rsidP="00771CCD">
      <w:pPr>
        <w:pStyle w:val="a7"/>
        <w:numPr>
          <w:ilvl w:val="1"/>
          <w:numId w:val="40"/>
        </w:numPr>
        <w:spacing w:after="120"/>
        <w:ind w:left="357" w:hanging="357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Μόνο το II και ΙΙI</w:t>
      </w:r>
    </w:p>
    <w:p w:rsidR="00893342" w:rsidRPr="00FE33EA" w:rsidRDefault="00893342" w:rsidP="00771CCD">
      <w:pPr>
        <w:pStyle w:val="a7"/>
        <w:numPr>
          <w:ilvl w:val="1"/>
          <w:numId w:val="40"/>
        </w:numPr>
        <w:spacing w:after="120"/>
        <w:ind w:left="357" w:hanging="357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Μόνο το IIΙ και ΙV</w:t>
      </w:r>
    </w:p>
    <w:p w:rsidR="00893342" w:rsidRPr="00FE33EA" w:rsidRDefault="00893342">
      <w:pPr>
        <w:rPr>
          <w:rFonts w:ascii="Arial" w:eastAsiaTheme="minorEastAsia" w:hAnsi="Arial" w:cs="Arial"/>
          <w:lang w:val="en-US"/>
        </w:rPr>
      </w:pPr>
    </w:p>
    <w:p w:rsidR="00893342" w:rsidRPr="00FE33EA" w:rsidRDefault="00893342" w:rsidP="00606D98">
      <w:pPr>
        <w:pStyle w:val="a7"/>
        <w:numPr>
          <w:ilvl w:val="0"/>
          <w:numId w:val="22"/>
        </w:numPr>
        <w:spacing w:after="120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Με βάση τα δεδομένα του παρακάτω πίνακα, και θεωρώντας τον αριθμό των νεοεισερχόμενων ίσο με 0,  ο αριθμός των συνταξιούχων R</w:t>
      </w:r>
      <w:r w:rsidRPr="00FE33EA">
        <w:rPr>
          <w:rFonts w:ascii="Arial" w:hAnsi="Arial" w:cs="Arial"/>
          <w:vertAlign w:val="subscript"/>
          <w:lang w:val="el-GR"/>
        </w:rPr>
        <w:t>e</w:t>
      </w:r>
      <w:r w:rsidRPr="00FE33EA">
        <w:rPr>
          <w:rFonts w:ascii="Arial" w:hAnsi="Arial" w:cs="Arial"/>
          <w:lang w:val="el-GR"/>
        </w:rPr>
        <w:t xml:space="preserve">(56,1) ισούται (περίπου) προς: </w:t>
      </w:r>
    </w:p>
    <w:tbl>
      <w:tblPr>
        <w:tblStyle w:val="a4"/>
        <w:tblW w:w="0" w:type="auto"/>
        <w:tblInd w:w="392" w:type="dxa"/>
        <w:tblLook w:val="04A0"/>
      </w:tblPr>
      <w:tblGrid>
        <w:gridCol w:w="672"/>
        <w:gridCol w:w="1065"/>
        <w:gridCol w:w="1065"/>
        <w:gridCol w:w="1065"/>
        <w:gridCol w:w="1065"/>
        <w:gridCol w:w="1066"/>
        <w:gridCol w:w="1066"/>
        <w:gridCol w:w="1066"/>
      </w:tblGrid>
      <w:tr w:rsidR="00893342" w:rsidRPr="00FE33EA" w:rsidTr="003D3916">
        <w:tc>
          <w:tcPr>
            <w:tcW w:w="672" w:type="dxa"/>
          </w:tcPr>
          <w:p w:rsidR="00893342" w:rsidRPr="00FE33EA" w:rsidRDefault="00893342" w:rsidP="003D391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65" w:type="dxa"/>
            <w:vAlign w:val="center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x</w:t>
            </w:r>
          </w:p>
        </w:tc>
        <w:tc>
          <w:tcPr>
            <w:tcW w:w="1065" w:type="dxa"/>
            <w:vAlign w:val="center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Ac(x,t)</w:t>
            </w:r>
          </w:p>
        </w:tc>
        <w:tc>
          <w:tcPr>
            <w:tcW w:w="1065" w:type="dxa"/>
            <w:vAlign w:val="center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Re(x,t)</w:t>
            </w:r>
          </w:p>
        </w:tc>
        <w:tc>
          <w:tcPr>
            <w:tcW w:w="1065" w:type="dxa"/>
            <w:vAlign w:val="center"/>
          </w:tcPr>
          <w:p w:rsidR="00893342" w:rsidRPr="00FE33EA" w:rsidRDefault="00D908AF" w:rsidP="003D3916">
            <w:pPr>
              <w:jc w:val="center"/>
              <w:rPr>
                <w:rFonts w:ascii="Arial" w:hAnsi="Arial" w:cs="Arial"/>
                <w:vertAlign w:val="subscript"/>
                <w:lang w:val="el-GR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lang w:val="el-GR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l-GR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l-GR"/>
                      </w:rPr>
                      <m:t>x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l-GR"/>
                      </w:rPr>
                      <m:t>p</m:t>
                    </m:r>
                  </m:sup>
                </m:sSubSup>
              </m:oMath>
            </m:oMathPara>
          </w:p>
        </w:tc>
        <w:tc>
          <w:tcPr>
            <w:tcW w:w="1066" w:type="dxa"/>
            <w:vAlign w:val="center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vertAlign w:val="superscript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i</w:t>
            </w:r>
            <w:r w:rsidRPr="00FE33EA">
              <w:rPr>
                <w:rFonts w:ascii="Arial" w:hAnsi="Arial" w:cs="Arial"/>
                <w:vertAlign w:val="subscript"/>
                <w:lang w:val="el-GR"/>
              </w:rPr>
              <w:t>x</w:t>
            </w:r>
            <w:r w:rsidRPr="00FE33EA">
              <w:rPr>
                <w:rFonts w:ascii="Arial" w:hAnsi="Arial" w:cs="Arial"/>
                <w:vertAlign w:val="superscript"/>
                <w:lang w:val="el-GR"/>
              </w:rPr>
              <w:t>*</w:t>
            </w:r>
          </w:p>
        </w:tc>
        <w:tc>
          <w:tcPr>
            <w:tcW w:w="1066" w:type="dxa"/>
            <w:vAlign w:val="center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vertAlign w:val="superscript"/>
                <w:lang w:val="el-GR"/>
              </w:rPr>
              <w:t>*</w:t>
            </w:r>
            <m:oMath>
              <m:sSubSup>
                <m:sSubSupPr>
                  <m:ctrlPr>
                    <w:rPr>
                      <w:rFonts w:ascii="Cambria Math" w:hAnsi="Cambria Math" w:cs="Arial"/>
                      <w:lang w:val="el-GR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l-GR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l-GR"/>
                    </w:rPr>
                    <m:t>x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l-GR"/>
                    </w:rPr>
                    <m:t>a</m:t>
                  </m:r>
                </m:sup>
              </m:sSubSup>
            </m:oMath>
          </w:p>
        </w:tc>
        <w:tc>
          <w:tcPr>
            <w:tcW w:w="1066" w:type="dxa"/>
            <w:vAlign w:val="center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vertAlign w:val="subscript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r</w:t>
            </w:r>
            <w:r w:rsidRPr="00FE33EA">
              <w:rPr>
                <w:rFonts w:ascii="Arial" w:hAnsi="Arial" w:cs="Arial"/>
                <w:vertAlign w:val="subscript"/>
                <w:lang w:val="el-GR"/>
              </w:rPr>
              <w:t>x</w:t>
            </w:r>
          </w:p>
        </w:tc>
      </w:tr>
      <w:tr w:rsidR="00893342" w:rsidRPr="00FE33EA" w:rsidTr="003D3916">
        <w:tc>
          <w:tcPr>
            <w:tcW w:w="672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t = 0</w:t>
            </w:r>
          </w:p>
        </w:tc>
        <w:tc>
          <w:tcPr>
            <w:tcW w:w="1065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55</w:t>
            </w:r>
          </w:p>
        </w:tc>
        <w:tc>
          <w:tcPr>
            <w:tcW w:w="1065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7.645</w:t>
            </w:r>
          </w:p>
        </w:tc>
        <w:tc>
          <w:tcPr>
            <w:tcW w:w="1065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1.921</w:t>
            </w:r>
          </w:p>
        </w:tc>
        <w:tc>
          <w:tcPr>
            <w:tcW w:w="1065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0,00561</w:t>
            </w:r>
          </w:p>
        </w:tc>
        <w:tc>
          <w:tcPr>
            <w:tcW w:w="1066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0,01088</w:t>
            </w:r>
          </w:p>
        </w:tc>
        <w:tc>
          <w:tcPr>
            <w:tcW w:w="1066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0,00645</w:t>
            </w:r>
          </w:p>
        </w:tc>
        <w:tc>
          <w:tcPr>
            <w:tcW w:w="1066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0,06500</w:t>
            </w:r>
          </w:p>
        </w:tc>
      </w:tr>
      <w:tr w:rsidR="00893342" w:rsidRPr="00FE33EA" w:rsidTr="003D3916">
        <w:tc>
          <w:tcPr>
            <w:tcW w:w="672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t = 1</w:t>
            </w:r>
          </w:p>
        </w:tc>
        <w:tc>
          <w:tcPr>
            <w:tcW w:w="1065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56</w:t>
            </w:r>
          </w:p>
        </w:tc>
        <w:tc>
          <w:tcPr>
            <w:tcW w:w="1065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065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065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0,00613</w:t>
            </w:r>
          </w:p>
        </w:tc>
        <w:tc>
          <w:tcPr>
            <w:tcW w:w="1066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0,01163</w:t>
            </w:r>
          </w:p>
        </w:tc>
        <w:tc>
          <w:tcPr>
            <w:tcW w:w="1066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0,00705</w:t>
            </w:r>
          </w:p>
        </w:tc>
        <w:tc>
          <w:tcPr>
            <w:tcW w:w="1066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0,13342</w:t>
            </w:r>
          </w:p>
        </w:tc>
      </w:tr>
    </w:tbl>
    <w:p w:rsidR="00893342" w:rsidRPr="00FE33EA" w:rsidRDefault="00893342" w:rsidP="00893342">
      <w:pPr>
        <w:pStyle w:val="a7"/>
        <w:rPr>
          <w:rFonts w:ascii="Arial" w:hAnsi="Arial" w:cs="Arial"/>
          <w:lang w:val="el-GR"/>
        </w:rPr>
      </w:pPr>
    </w:p>
    <w:p w:rsidR="00893342" w:rsidRPr="00FE33EA" w:rsidRDefault="00893342" w:rsidP="00606D98">
      <w:pPr>
        <w:pStyle w:val="a7"/>
        <w:numPr>
          <w:ilvl w:val="0"/>
          <w:numId w:val="20"/>
        </w:num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9.506</w:t>
      </w:r>
    </w:p>
    <w:p w:rsidR="00893342" w:rsidRPr="00FE33EA" w:rsidRDefault="00893342" w:rsidP="00606D98">
      <w:pPr>
        <w:pStyle w:val="a7"/>
        <w:numPr>
          <w:ilvl w:val="0"/>
          <w:numId w:val="20"/>
        </w:num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9.460</w:t>
      </w:r>
    </w:p>
    <w:p w:rsidR="00893342" w:rsidRPr="00FE33EA" w:rsidRDefault="00893342" w:rsidP="00606D98">
      <w:pPr>
        <w:pStyle w:val="a7"/>
        <w:numPr>
          <w:ilvl w:val="0"/>
          <w:numId w:val="20"/>
        </w:num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7.854</w:t>
      </w:r>
    </w:p>
    <w:p w:rsidR="00893342" w:rsidRPr="00FE33EA" w:rsidRDefault="00893342" w:rsidP="00606D98">
      <w:pPr>
        <w:pStyle w:val="a7"/>
        <w:numPr>
          <w:ilvl w:val="0"/>
          <w:numId w:val="20"/>
        </w:num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2.912</w:t>
      </w:r>
    </w:p>
    <w:p w:rsidR="00893342" w:rsidRPr="00FE33EA" w:rsidRDefault="00893342" w:rsidP="00606D98">
      <w:pPr>
        <w:pStyle w:val="a7"/>
        <w:numPr>
          <w:ilvl w:val="0"/>
          <w:numId w:val="20"/>
        </w:num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2.398</w:t>
      </w:r>
    </w:p>
    <w:p w:rsidR="00893342" w:rsidRPr="00FE33EA" w:rsidRDefault="00893342" w:rsidP="00893342">
      <w:pPr>
        <w:rPr>
          <w:rFonts w:ascii="Arial" w:hAnsi="Arial" w:cs="Arial"/>
          <w:lang w:val="el-GR"/>
        </w:rPr>
      </w:pPr>
    </w:p>
    <w:p w:rsidR="00893342" w:rsidRPr="00FE33EA" w:rsidRDefault="00893342" w:rsidP="00606D98">
      <w:pPr>
        <w:pStyle w:val="a7"/>
        <w:numPr>
          <w:ilvl w:val="0"/>
          <w:numId w:val="22"/>
        </w:numPr>
        <w:spacing w:after="120"/>
        <w:ind w:left="357" w:hanging="357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Εργαζόμενος με πυκνότητα παροχής d ίση προς 95% ο οποίος συνταξιοδοτείται το 2030 σε ηλικία 62 ετών μετά από 40 έτη συνεχούς υπηρεσίας προσελήφθη το έτος</w:t>
      </w:r>
    </w:p>
    <w:p w:rsidR="00893342" w:rsidRPr="00FE33EA" w:rsidRDefault="00893342" w:rsidP="00893342">
      <w:pPr>
        <w:pStyle w:val="a7"/>
        <w:spacing w:after="120"/>
        <w:ind w:left="357"/>
        <w:jc w:val="both"/>
        <w:rPr>
          <w:rFonts w:ascii="Arial" w:hAnsi="Arial" w:cs="Arial"/>
          <w:lang w:val="el-GR"/>
        </w:rPr>
      </w:pPr>
    </w:p>
    <w:p w:rsidR="00893342" w:rsidRPr="00FE33EA" w:rsidRDefault="00893342" w:rsidP="00771CCD">
      <w:pPr>
        <w:pStyle w:val="a7"/>
        <w:numPr>
          <w:ilvl w:val="0"/>
          <w:numId w:val="21"/>
        </w:numPr>
        <w:spacing w:after="120"/>
        <w:ind w:left="357" w:hanging="357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1992</w:t>
      </w:r>
    </w:p>
    <w:p w:rsidR="00893342" w:rsidRPr="00FE33EA" w:rsidRDefault="00893342" w:rsidP="00771CCD">
      <w:pPr>
        <w:pStyle w:val="a7"/>
        <w:numPr>
          <w:ilvl w:val="0"/>
          <w:numId w:val="21"/>
        </w:numPr>
        <w:spacing w:after="120"/>
        <w:ind w:left="357" w:hanging="357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1990</w:t>
      </w:r>
    </w:p>
    <w:p w:rsidR="00893342" w:rsidRPr="00FE33EA" w:rsidRDefault="00893342" w:rsidP="00771CCD">
      <w:pPr>
        <w:pStyle w:val="a7"/>
        <w:numPr>
          <w:ilvl w:val="0"/>
          <w:numId w:val="21"/>
        </w:numPr>
        <w:spacing w:after="120"/>
        <w:ind w:left="357" w:hanging="357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1989</w:t>
      </w:r>
    </w:p>
    <w:p w:rsidR="00893342" w:rsidRPr="00FE33EA" w:rsidRDefault="00893342" w:rsidP="00771CCD">
      <w:pPr>
        <w:pStyle w:val="a7"/>
        <w:numPr>
          <w:ilvl w:val="0"/>
          <w:numId w:val="21"/>
        </w:numPr>
        <w:spacing w:after="120"/>
        <w:ind w:left="357" w:hanging="357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1988</w:t>
      </w:r>
    </w:p>
    <w:p w:rsidR="00893342" w:rsidRPr="00FE33EA" w:rsidRDefault="00893342" w:rsidP="00771CCD">
      <w:pPr>
        <w:pStyle w:val="a7"/>
        <w:numPr>
          <w:ilvl w:val="0"/>
          <w:numId w:val="21"/>
        </w:numPr>
        <w:spacing w:after="120"/>
        <w:ind w:left="357" w:hanging="357"/>
        <w:rPr>
          <w:rFonts w:ascii="Arial" w:eastAsiaTheme="minorEastAsia" w:hAnsi="Arial" w:cs="Arial"/>
          <w:lang w:val="el-GR"/>
        </w:rPr>
      </w:pPr>
      <w:r w:rsidRPr="00FE33EA">
        <w:rPr>
          <w:rFonts w:ascii="Arial" w:hAnsi="Arial" w:cs="Arial"/>
          <w:lang w:val="el-GR"/>
        </w:rPr>
        <w:t>1987</w:t>
      </w:r>
    </w:p>
    <w:p w:rsidR="00893342" w:rsidRPr="00FE33EA" w:rsidRDefault="00893342" w:rsidP="00893342">
      <w:pPr>
        <w:spacing w:after="120"/>
        <w:rPr>
          <w:rFonts w:ascii="Arial" w:eastAsiaTheme="minorEastAsia" w:hAnsi="Arial" w:cs="Arial"/>
          <w:lang w:val="en-US"/>
        </w:rPr>
      </w:pPr>
    </w:p>
    <w:p w:rsidR="00893342" w:rsidRPr="00FE33EA" w:rsidRDefault="00893342" w:rsidP="00606D98">
      <w:pPr>
        <w:pStyle w:val="a7"/>
        <w:numPr>
          <w:ilvl w:val="0"/>
          <w:numId w:val="37"/>
        </w:numPr>
        <w:spacing w:after="120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Ενεργός ασφαλισμένος ηλικίας  50 και είσοδο σε πλάνο στην ηλικία 20 δικαιούται παροχή συνταξιοδότησης στην ηλικία 65 ίσης με 70% του μέσου μισθού τελευταίας  τριετίας.  Εάν S</w:t>
      </w:r>
      <w:r w:rsidRPr="00FE33EA">
        <w:rPr>
          <w:rFonts w:ascii="Arial" w:eastAsiaTheme="minorEastAsia" w:hAnsi="Arial" w:cs="Arial"/>
          <w:vertAlign w:val="subscript"/>
          <w:lang w:val="el-GR"/>
        </w:rPr>
        <w:t>20</w:t>
      </w:r>
      <w:r w:rsidRPr="00FE33EA">
        <w:rPr>
          <w:rFonts w:ascii="Arial" w:eastAsiaTheme="minorEastAsia" w:hAnsi="Arial" w:cs="Arial"/>
          <w:lang w:val="el-GR"/>
        </w:rPr>
        <w:t xml:space="preserve"> = 3.000€ , </w:t>
      </w:r>
      <m:oMath>
        <m:sSubSup>
          <m:sSubSupPr>
            <m:ctrlPr>
              <w:rPr>
                <w:rFonts w:ascii="Cambria Math" w:hAnsi="Cambria Math" w:cs="Arial"/>
                <w:lang w:val="el-GR"/>
              </w:rPr>
            </m:ctrlPr>
          </m:sSubSupPr>
          <m:e>
            <m:acc>
              <m:accPr>
                <m:chr m:val="̈"/>
                <m:ctrlPr>
                  <w:rPr>
                    <w:rFonts w:ascii="Cambria Math" w:hAnsi="Cambria Math" w:cs="Arial"/>
                    <w:lang w:val="el-G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el-GR"/>
                  </w:rPr>
                  <m:t xml:space="preserve"> α 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Arial"/>
                    <w:lang w:val="el-G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el-GR"/>
                  </w:rPr>
                  <m:t>65</m:t>
                </m:r>
              </m:e>
              <m:sub/>
            </m:sSub>
            <m:r>
              <m:rPr>
                <m:sty m:val="p"/>
              </m:rPr>
              <w:rPr>
                <w:rFonts w:ascii="Cambria Math" w:hAnsi="Cambria Math" w:cs="Arial"/>
                <w:lang w:val="el-GR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lang w:val="el-GR"/>
              </w:rPr>
              <m:t>(12)</m:t>
            </m:r>
          </m:sup>
        </m:sSubSup>
        <m:r>
          <m:rPr>
            <m:sty m:val="p"/>
          </m:rPr>
          <w:rPr>
            <w:rFonts w:ascii="Cambria Math" w:hAnsi="Cambria Math" w:cs="Arial"/>
            <w:lang w:val="el-GR"/>
          </w:rPr>
          <m:t>=9</m:t>
        </m:r>
      </m:oMath>
      <w:r w:rsidRPr="00FE33EA">
        <w:rPr>
          <w:rFonts w:ascii="Arial" w:eastAsiaTheme="minorEastAsia" w:hAnsi="Arial" w:cs="Arial"/>
          <w:lang w:val="el-GR"/>
        </w:rPr>
        <w:t xml:space="preserve"> και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lang w:val="el-GR"/>
              </w:rPr>
            </m:ctrlPr>
          </m:sSubPr>
          <m:e>
            <m:sPre>
              <m:sPrePr>
                <m:ctrlPr>
                  <w:rPr>
                    <w:rFonts w:ascii="Cambria Math" w:eastAsiaTheme="minorEastAsia" w:hAnsi="Cambria Math" w:cs="Arial"/>
                    <w:i/>
                    <w:lang w:val="el-GR"/>
                  </w:rPr>
                </m:ctrlPr>
              </m:sPrePr>
              <m:sub>
                <m:r>
                  <w:rPr>
                    <w:rFonts w:ascii="Cambria Math" w:eastAsiaTheme="minorEastAsia" w:hAnsi="Cambria Math" w:cs="Arial"/>
                    <w:lang w:val="el-GR"/>
                  </w:rPr>
                  <m:t>15</m:t>
                </m:r>
              </m:sub>
              <m:sup/>
              <m:e>
                <m:r>
                  <w:rPr>
                    <w:rFonts w:ascii="Cambria Math" w:eastAsiaTheme="minorEastAsia" w:hAnsi="Cambria Math" w:cs="Arial"/>
                    <w:lang w:val="el-GR"/>
                  </w:rPr>
                  <m:t>Ε</m:t>
                </m:r>
              </m:e>
            </m:sPre>
          </m:e>
          <m:sub>
            <m:r>
              <w:rPr>
                <w:rFonts w:ascii="Cambria Math" w:eastAsiaTheme="minorEastAsia" w:hAnsi="Cambria Math" w:cs="Arial"/>
                <w:lang w:val="el-GR"/>
              </w:rPr>
              <m:t>50</m:t>
            </m:r>
          </m:sub>
        </m:sSub>
        <m:r>
          <w:rPr>
            <w:rFonts w:ascii="Cambria Math" w:eastAsiaTheme="minorEastAsia" w:hAnsi="Cambria Math" w:cs="Arial"/>
            <w:lang w:val="el-GR"/>
          </w:rPr>
          <m:t>=0,55</m:t>
        </m:r>
      </m:oMath>
      <w:r w:rsidRPr="00FE33EA">
        <w:rPr>
          <w:rFonts w:ascii="Arial" w:eastAsiaTheme="minorEastAsia" w:hAnsi="Arial" w:cs="Arial"/>
          <w:lang w:val="el-GR"/>
        </w:rPr>
        <w:t xml:space="preserve"> και s= 5% τότε δεδομένης διακοπής του πλάνου η TPLx ισούται με:</w:t>
      </w:r>
    </w:p>
    <w:p w:rsidR="00893342" w:rsidRPr="00FE33EA" w:rsidRDefault="00893342" w:rsidP="00893342">
      <w:pPr>
        <w:pStyle w:val="a7"/>
        <w:spacing w:after="120"/>
        <w:ind w:left="360"/>
        <w:jc w:val="both"/>
        <w:rPr>
          <w:rFonts w:ascii="Arial" w:eastAsiaTheme="minorEastAsia" w:hAnsi="Arial" w:cs="Arial"/>
          <w:lang w:val="el-GR"/>
        </w:rPr>
      </w:pPr>
    </w:p>
    <w:p w:rsidR="00893342" w:rsidRPr="00FE33EA" w:rsidRDefault="00893342" w:rsidP="00771CCD">
      <w:pPr>
        <w:pStyle w:val="a7"/>
        <w:numPr>
          <w:ilvl w:val="1"/>
          <w:numId w:val="23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74.348</w:t>
      </w:r>
    </w:p>
    <w:p w:rsidR="00893342" w:rsidRPr="00FE33EA" w:rsidRDefault="00893342" w:rsidP="00771CCD">
      <w:pPr>
        <w:pStyle w:val="a7"/>
        <w:numPr>
          <w:ilvl w:val="1"/>
          <w:numId w:val="23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66.522</w:t>
      </w:r>
    </w:p>
    <w:p w:rsidR="00893342" w:rsidRPr="00FE33EA" w:rsidRDefault="00893342" w:rsidP="00771CCD">
      <w:pPr>
        <w:pStyle w:val="a7"/>
        <w:numPr>
          <w:ilvl w:val="1"/>
          <w:numId w:val="23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52.044</w:t>
      </w:r>
    </w:p>
    <w:p w:rsidR="00893342" w:rsidRPr="00FE33EA" w:rsidRDefault="00893342" w:rsidP="00771CCD">
      <w:pPr>
        <w:pStyle w:val="a7"/>
        <w:numPr>
          <w:ilvl w:val="1"/>
          <w:numId w:val="23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33.588</w:t>
      </w:r>
    </w:p>
    <w:p w:rsidR="00893342" w:rsidRPr="00FE33EA" w:rsidRDefault="00893342" w:rsidP="00771CCD">
      <w:pPr>
        <w:pStyle w:val="a7"/>
        <w:numPr>
          <w:ilvl w:val="1"/>
          <w:numId w:val="23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24.025</w:t>
      </w:r>
    </w:p>
    <w:p w:rsidR="00893342" w:rsidRPr="00FE33EA" w:rsidRDefault="00893342" w:rsidP="00893342">
      <w:pPr>
        <w:pStyle w:val="a7"/>
        <w:ind w:left="360"/>
        <w:jc w:val="both"/>
        <w:rPr>
          <w:rFonts w:ascii="Arial" w:eastAsiaTheme="minorEastAsia" w:hAnsi="Arial" w:cs="Arial"/>
          <w:lang w:val="en-US"/>
        </w:rPr>
      </w:pPr>
    </w:p>
    <w:p w:rsidR="00771CCD" w:rsidRPr="00FE33EA" w:rsidRDefault="00771CCD" w:rsidP="00893342">
      <w:pPr>
        <w:pStyle w:val="a7"/>
        <w:ind w:left="360"/>
        <w:jc w:val="both"/>
        <w:rPr>
          <w:rFonts w:ascii="Arial" w:eastAsiaTheme="minorEastAsia" w:hAnsi="Arial" w:cs="Arial"/>
          <w:lang w:val="en-US"/>
        </w:rPr>
      </w:pPr>
    </w:p>
    <w:p w:rsidR="00893342" w:rsidRPr="00FE33EA" w:rsidRDefault="00893342" w:rsidP="00606D98">
      <w:pPr>
        <w:pStyle w:val="a7"/>
        <w:numPr>
          <w:ilvl w:val="0"/>
          <w:numId w:val="37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 xml:space="preserve">Σε συνταξιοδοτικό πλάνο με παροχή στην ηλικία κανονικής συνταξιοδότησης Βr, για το μοναδικό ασφαλισμένο ηλικίας x γνωρίζουμε ότι NCx = 0, ALx = 10.000 και Bx=8.000. Εάν   </w:t>
      </w:r>
      <m:oMath>
        <m:sSub>
          <m:sSubPr>
            <m:ctrlPr>
              <w:rPr>
                <w:rFonts w:ascii="Cambria Math" w:eastAsiaTheme="minorEastAsia" w:hAnsi="Cambria Math" w:cs="Arial"/>
                <w:lang w:val="el-GR"/>
              </w:rPr>
            </m:ctrlPr>
          </m:sSubPr>
          <m:e>
            <m:sPre>
              <m:sPrePr>
                <m:ctrlPr>
                  <w:rPr>
                    <w:rFonts w:ascii="Cambria Math" w:eastAsiaTheme="minorEastAsia" w:hAnsi="Cambria Math" w:cs="Arial"/>
                    <w:lang w:val="el-GR"/>
                  </w:rPr>
                </m:ctrlPr>
              </m:sPrePr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lang w:val="el-GR"/>
                  </w:rPr>
                  <m:t>1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lang w:val="el-GR"/>
                  </w:rPr>
                  <m:t>Ε</m:t>
                </m:r>
              </m:e>
            </m:sPre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lang w:val="el-GR"/>
              </w:rPr>
              <m:t>x</m:t>
            </m:r>
          </m:sub>
        </m:sSub>
      </m:oMath>
      <w:r w:rsidRPr="00FE33EA">
        <w:rPr>
          <w:rFonts w:ascii="Arial" w:eastAsiaTheme="minorEastAsia" w:hAnsi="Arial" w:cs="Arial"/>
          <w:lang w:val="el-GR"/>
        </w:rPr>
        <w:t xml:space="preserve"> = 0,25, τότε η ALx+1 = ισούται προς</w:t>
      </w:r>
    </w:p>
    <w:p w:rsidR="00893342" w:rsidRPr="00FE33EA" w:rsidRDefault="00893342" w:rsidP="00893342">
      <w:pPr>
        <w:pStyle w:val="a7"/>
        <w:ind w:left="0"/>
        <w:jc w:val="both"/>
        <w:rPr>
          <w:rFonts w:ascii="Arial" w:eastAsiaTheme="minorEastAsia" w:hAnsi="Arial" w:cs="Arial"/>
          <w:lang w:val="el-GR"/>
        </w:rPr>
      </w:pPr>
    </w:p>
    <w:p w:rsidR="00893342" w:rsidRPr="00FE33EA" w:rsidRDefault="00893342" w:rsidP="00771CCD">
      <w:pPr>
        <w:pStyle w:val="a7"/>
        <w:numPr>
          <w:ilvl w:val="1"/>
          <w:numId w:val="24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40.000€</w:t>
      </w:r>
    </w:p>
    <w:p w:rsidR="00893342" w:rsidRPr="00FE33EA" w:rsidRDefault="00893342" w:rsidP="00771CCD">
      <w:pPr>
        <w:pStyle w:val="a7"/>
        <w:numPr>
          <w:ilvl w:val="1"/>
          <w:numId w:val="24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10.000€</w:t>
      </w:r>
    </w:p>
    <w:p w:rsidR="00893342" w:rsidRPr="00FE33EA" w:rsidRDefault="00893342" w:rsidP="00771CCD">
      <w:pPr>
        <w:pStyle w:val="a7"/>
        <w:numPr>
          <w:ilvl w:val="1"/>
          <w:numId w:val="24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 xml:space="preserve">  8.000€</w:t>
      </w:r>
    </w:p>
    <w:p w:rsidR="00893342" w:rsidRPr="00FE33EA" w:rsidRDefault="00893342" w:rsidP="00771CCD">
      <w:pPr>
        <w:pStyle w:val="a7"/>
        <w:numPr>
          <w:ilvl w:val="1"/>
          <w:numId w:val="24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 xml:space="preserve">  4.000€</w:t>
      </w:r>
    </w:p>
    <w:p w:rsidR="00893342" w:rsidRPr="00FE33EA" w:rsidRDefault="00893342" w:rsidP="00771CCD">
      <w:pPr>
        <w:pStyle w:val="a7"/>
        <w:numPr>
          <w:ilvl w:val="1"/>
          <w:numId w:val="24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 xml:space="preserve">  1.000€</w:t>
      </w:r>
    </w:p>
    <w:p w:rsidR="00893342" w:rsidRPr="00FE33EA" w:rsidRDefault="00893342" w:rsidP="00893342">
      <w:pPr>
        <w:spacing w:after="120"/>
        <w:rPr>
          <w:rFonts w:ascii="Arial" w:eastAsiaTheme="minorEastAsia" w:hAnsi="Arial" w:cs="Arial"/>
          <w:lang w:val="el-GR"/>
        </w:rPr>
      </w:pPr>
    </w:p>
    <w:p w:rsidR="00893342" w:rsidRPr="00FE33EA" w:rsidRDefault="00893342" w:rsidP="00606D98">
      <w:pPr>
        <w:pStyle w:val="a7"/>
        <w:numPr>
          <w:ilvl w:val="0"/>
          <w:numId w:val="26"/>
        </w:numPr>
        <w:spacing w:after="120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Με βάση τον παρακάτω πίνακα και γνωρίζοντας ότι r</w:t>
      </w:r>
      <w:r w:rsidRPr="00FE33EA">
        <w:rPr>
          <w:rFonts w:ascii="Arial" w:hAnsi="Arial" w:cs="Arial"/>
          <w:vertAlign w:val="subscript"/>
          <w:lang w:val="el-GR"/>
        </w:rPr>
        <w:t xml:space="preserve">34 </w:t>
      </w:r>
      <w:r w:rsidRPr="00FE33EA">
        <w:rPr>
          <w:rFonts w:ascii="Arial" w:hAnsi="Arial" w:cs="Arial"/>
          <w:lang w:val="el-GR"/>
        </w:rPr>
        <w:t>=0 και η πυκνότητα παροχής d είναι ίση προς 100% ο αριθμός των νεοεισερχομένων Ζ(34,1) ισούται προς</w:t>
      </w:r>
    </w:p>
    <w:tbl>
      <w:tblPr>
        <w:tblStyle w:val="a4"/>
        <w:tblW w:w="0" w:type="auto"/>
        <w:jc w:val="center"/>
        <w:tblLook w:val="04A0"/>
      </w:tblPr>
      <w:tblGrid>
        <w:gridCol w:w="1064"/>
        <w:gridCol w:w="1065"/>
        <w:gridCol w:w="1065"/>
        <w:gridCol w:w="1065"/>
        <w:gridCol w:w="1066"/>
        <w:gridCol w:w="1066"/>
      </w:tblGrid>
      <w:tr w:rsidR="00893342" w:rsidRPr="00FE33EA" w:rsidTr="003D3916">
        <w:trPr>
          <w:jc w:val="center"/>
        </w:trPr>
        <w:tc>
          <w:tcPr>
            <w:tcW w:w="1064" w:type="dxa"/>
            <w:vAlign w:val="center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Ac(x,t)</w:t>
            </w:r>
          </w:p>
        </w:tc>
        <w:tc>
          <w:tcPr>
            <w:tcW w:w="1065" w:type="dxa"/>
            <w:vAlign w:val="center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t=0</w:t>
            </w:r>
          </w:p>
        </w:tc>
        <w:tc>
          <w:tcPr>
            <w:tcW w:w="1065" w:type="dxa"/>
            <w:vAlign w:val="center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t=1</w:t>
            </w:r>
          </w:p>
        </w:tc>
        <w:tc>
          <w:tcPr>
            <w:tcW w:w="1065" w:type="dxa"/>
            <w:vAlign w:val="center"/>
          </w:tcPr>
          <w:p w:rsidR="00893342" w:rsidRPr="00FE33EA" w:rsidRDefault="00D908AF" w:rsidP="003D3916">
            <w:pPr>
              <w:jc w:val="center"/>
              <w:rPr>
                <w:rFonts w:ascii="Arial" w:hAnsi="Arial" w:cs="Arial"/>
                <w:vertAlign w:val="subscript"/>
                <w:lang w:val="el-GR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lang w:val="el-GR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l-GR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l-GR"/>
                      </w:rPr>
                      <m:t>33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l-GR"/>
                      </w:rPr>
                      <m:t>aa</m:t>
                    </m:r>
                  </m:sup>
                </m:sSubSup>
              </m:oMath>
            </m:oMathPara>
          </w:p>
        </w:tc>
        <w:tc>
          <w:tcPr>
            <w:tcW w:w="1066" w:type="dxa"/>
            <w:vAlign w:val="center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i</w:t>
            </w:r>
            <w:r w:rsidRPr="00FE33EA">
              <w:rPr>
                <w:rFonts w:ascii="Arial" w:hAnsi="Arial" w:cs="Arial"/>
                <w:vertAlign w:val="subscript"/>
                <w:lang w:val="el-GR"/>
              </w:rPr>
              <w:t>33</w:t>
            </w:r>
            <w:r w:rsidRPr="00FE33EA">
              <w:rPr>
                <w:rFonts w:ascii="Arial" w:hAnsi="Arial" w:cs="Arial"/>
                <w:lang w:val="el-GR"/>
              </w:rPr>
              <w:t>*</w:t>
            </w:r>
          </w:p>
        </w:tc>
        <w:tc>
          <w:tcPr>
            <w:tcW w:w="1066" w:type="dxa"/>
            <w:vAlign w:val="center"/>
          </w:tcPr>
          <w:p w:rsidR="00893342" w:rsidRPr="00FE33EA" w:rsidRDefault="00893342" w:rsidP="003D3916">
            <w:pPr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vertAlign w:val="superscript"/>
                <w:lang w:val="el-GR"/>
              </w:rPr>
              <w:t>*</w:t>
            </w:r>
            <m:oMath>
              <m:sSubSup>
                <m:sSubSupPr>
                  <m:ctrlPr>
                    <w:rPr>
                      <w:rFonts w:ascii="Cambria Math" w:hAnsi="Cambria Math" w:cs="Arial"/>
                      <w:lang w:val="el-GR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l-GR"/>
                    </w:rPr>
                    <m:t>q</m:t>
                  </m:r>
                </m:e>
                <m:sub>
                  <m:r>
                    <w:rPr>
                      <w:rFonts w:ascii="Cambria Math" w:hAnsi="Cambria Math" w:cs="Arial"/>
                      <w:lang w:val="el-GR"/>
                    </w:rPr>
                    <m:t>33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l-GR"/>
                    </w:rPr>
                    <m:t>a</m:t>
                  </m:r>
                </m:sup>
              </m:sSubSup>
            </m:oMath>
          </w:p>
        </w:tc>
      </w:tr>
      <w:tr w:rsidR="00893342" w:rsidRPr="00FE33EA" w:rsidTr="003D3916">
        <w:trPr>
          <w:jc w:val="center"/>
        </w:trPr>
        <w:tc>
          <w:tcPr>
            <w:tcW w:w="1064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33</w:t>
            </w:r>
          </w:p>
        </w:tc>
        <w:tc>
          <w:tcPr>
            <w:tcW w:w="1065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43.615</w:t>
            </w:r>
          </w:p>
        </w:tc>
        <w:tc>
          <w:tcPr>
            <w:tcW w:w="1065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41.541</w:t>
            </w:r>
          </w:p>
        </w:tc>
        <w:tc>
          <w:tcPr>
            <w:tcW w:w="1065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0,99802</w:t>
            </w:r>
          </w:p>
        </w:tc>
        <w:tc>
          <w:tcPr>
            <w:tcW w:w="1066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0,01088</w:t>
            </w:r>
          </w:p>
        </w:tc>
        <w:tc>
          <w:tcPr>
            <w:tcW w:w="1066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0,00645</w:t>
            </w:r>
          </w:p>
        </w:tc>
      </w:tr>
      <w:tr w:rsidR="00893342" w:rsidRPr="00FE33EA" w:rsidTr="003D3916">
        <w:trPr>
          <w:jc w:val="center"/>
        </w:trPr>
        <w:tc>
          <w:tcPr>
            <w:tcW w:w="1064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34</w:t>
            </w:r>
          </w:p>
        </w:tc>
        <w:tc>
          <w:tcPr>
            <w:tcW w:w="1065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44.818</w:t>
            </w:r>
          </w:p>
        </w:tc>
        <w:tc>
          <w:tcPr>
            <w:tcW w:w="1065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43.683</w:t>
            </w:r>
          </w:p>
        </w:tc>
        <w:tc>
          <w:tcPr>
            <w:tcW w:w="1065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066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066" w:type="dxa"/>
            <w:vAlign w:val="center"/>
          </w:tcPr>
          <w:p w:rsidR="00893342" w:rsidRPr="00FE33EA" w:rsidRDefault="00893342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893342" w:rsidRPr="00FE33EA" w:rsidRDefault="00893342" w:rsidP="00893342">
      <w:pPr>
        <w:pStyle w:val="a7"/>
        <w:rPr>
          <w:rFonts w:ascii="Arial" w:hAnsi="Arial" w:cs="Arial"/>
          <w:lang w:val="el-GR"/>
        </w:rPr>
      </w:pPr>
    </w:p>
    <w:p w:rsidR="00893342" w:rsidRPr="00FE33EA" w:rsidRDefault="00893342" w:rsidP="00771CCD">
      <w:pPr>
        <w:pStyle w:val="a7"/>
        <w:numPr>
          <w:ilvl w:val="0"/>
          <w:numId w:val="25"/>
        </w:numPr>
        <w:ind w:left="357" w:hanging="357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349</w:t>
      </w:r>
    </w:p>
    <w:p w:rsidR="00893342" w:rsidRPr="00FE33EA" w:rsidRDefault="00893342" w:rsidP="00771CCD">
      <w:pPr>
        <w:pStyle w:val="a7"/>
        <w:numPr>
          <w:ilvl w:val="0"/>
          <w:numId w:val="25"/>
        </w:numPr>
        <w:ind w:left="357" w:hanging="357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281</w:t>
      </w:r>
    </w:p>
    <w:p w:rsidR="00893342" w:rsidRPr="00FE33EA" w:rsidRDefault="00893342" w:rsidP="00771CCD">
      <w:pPr>
        <w:pStyle w:val="a7"/>
        <w:numPr>
          <w:ilvl w:val="0"/>
          <w:numId w:val="25"/>
        </w:numPr>
        <w:ind w:left="357" w:hanging="357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214</w:t>
      </w:r>
    </w:p>
    <w:p w:rsidR="00893342" w:rsidRPr="00FE33EA" w:rsidRDefault="00893342" w:rsidP="00771CCD">
      <w:pPr>
        <w:pStyle w:val="a7"/>
        <w:numPr>
          <w:ilvl w:val="0"/>
          <w:numId w:val="25"/>
        </w:numPr>
        <w:ind w:left="357" w:hanging="357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154</w:t>
      </w:r>
    </w:p>
    <w:p w:rsidR="00893342" w:rsidRPr="00FE33EA" w:rsidRDefault="00893342" w:rsidP="00771CCD">
      <w:pPr>
        <w:pStyle w:val="a7"/>
        <w:numPr>
          <w:ilvl w:val="0"/>
          <w:numId w:val="25"/>
        </w:numPr>
        <w:ind w:left="357" w:hanging="357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 xml:space="preserve">  86</w:t>
      </w:r>
    </w:p>
    <w:p w:rsidR="00893342" w:rsidRPr="00FE33EA" w:rsidRDefault="00893342">
      <w:pPr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br w:type="page"/>
      </w:r>
    </w:p>
    <w:p w:rsidR="00893342" w:rsidRPr="00FE33EA" w:rsidRDefault="00893342" w:rsidP="00606D98">
      <w:pPr>
        <w:pStyle w:val="a3"/>
        <w:numPr>
          <w:ilvl w:val="0"/>
          <w:numId w:val="28"/>
        </w:numPr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lastRenderedPageBreak/>
        <w:t>Σε συνταξιοδοτικό σχήμα όπου εφαρμόζεται η μέθοδος της Παγωμένης Αρχικής Υποχρέωσης συνεισφέρουν από κοινού εργοδότης και εργαζόμενοι με 1% των αποδοχών τους και σε αναλογία 1:10. Εάν την 1/1/2010 οι συνολικές αποδοχές ανέρχονται σε €1.000.000 η παρούσα αξία των συνολικών μελλοντικών παροχών ισούται προς €1.300.000 η μη χρηματοδοτημένη αναλογιστική υποχρέωση προς €120.000, και η μέση ράντα προς 8,5, η περιουσία του σχήματος ανέρχεται σε:</w:t>
      </w:r>
    </w:p>
    <w:p w:rsidR="00893342" w:rsidRPr="00FE33EA" w:rsidRDefault="00893342" w:rsidP="00606D98">
      <w:pPr>
        <w:pStyle w:val="a7"/>
        <w:numPr>
          <w:ilvl w:val="0"/>
          <w:numId w:val="27"/>
        </w:numPr>
        <w:spacing w:after="12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450.000</w:t>
      </w:r>
    </w:p>
    <w:p w:rsidR="00893342" w:rsidRPr="00FE33EA" w:rsidRDefault="00893342" w:rsidP="00606D98">
      <w:pPr>
        <w:pStyle w:val="a7"/>
        <w:numPr>
          <w:ilvl w:val="0"/>
          <w:numId w:val="27"/>
        </w:numPr>
        <w:spacing w:after="12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415.000</w:t>
      </w:r>
    </w:p>
    <w:p w:rsidR="00893342" w:rsidRPr="00FE33EA" w:rsidRDefault="00893342" w:rsidP="00606D98">
      <w:pPr>
        <w:pStyle w:val="a7"/>
        <w:numPr>
          <w:ilvl w:val="0"/>
          <w:numId w:val="27"/>
        </w:numPr>
        <w:spacing w:after="12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365.000</w:t>
      </w:r>
    </w:p>
    <w:p w:rsidR="00893342" w:rsidRPr="00FE33EA" w:rsidRDefault="00893342" w:rsidP="00606D98">
      <w:pPr>
        <w:pStyle w:val="a7"/>
        <w:numPr>
          <w:ilvl w:val="0"/>
          <w:numId w:val="27"/>
        </w:numPr>
        <w:spacing w:after="12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330.000</w:t>
      </w:r>
    </w:p>
    <w:p w:rsidR="00893342" w:rsidRPr="00FE33EA" w:rsidRDefault="00893342" w:rsidP="00606D98">
      <w:pPr>
        <w:pStyle w:val="a7"/>
        <w:numPr>
          <w:ilvl w:val="0"/>
          <w:numId w:val="27"/>
        </w:numPr>
        <w:spacing w:after="12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245.000</w:t>
      </w:r>
    </w:p>
    <w:p w:rsidR="00893342" w:rsidRPr="00FE33EA" w:rsidRDefault="00893342" w:rsidP="00893342">
      <w:pPr>
        <w:pStyle w:val="a7"/>
        <w:rPr>
          <w:rFonts w:ascii="Arial" w:hAnsi="Arial" w:cs="Arial"/>
          <w:lang w:val="el-GR"/>
        </w:rPr>
      </w:pPr>
    </w:p>
    <w:p w:rsidR="00606D98" w:rsidRPr="00FE33EA" w:rsidRDefault="00606D98" w:rsidP="00606D98">
      <w:pPr>
        <w:pStyle w:val="a7"/>
        <w:numPr>
          <w:ilvl w:val="0"/>
          <w:numId w:val="38"/>
        </w:numPr>
        <w:spacing w:after="200" w:line="276" w:lineRule="auto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Σε συνταξιοδοτικό πλάνο με έναρξη 1/1/2012 εφαρμόζεται η Aggregate μέθοδος με παροχή στα 65 400€ το μήνα. Τα δεδομένα για το πλάνο την 1/1/2012 εμφανίζονται στον παρακάτω πίνακα. Εάν το κανονικό κόστος NC</w:t>
      </w:r>
      <w:r w:rsidRPr="00FE33EA">
        <w:rPr>
          <w:rFonts w:ascii="Arial" w:eastAsiaTheme="minorEastAsia" w:hAnsi="Arial" w:cs="Arial"/>
          <w:vertAlign w:val="subscript"/>
          <w:lang w:val="el-GR"/>
        </w:rPr>
        <w:t>1/1/2012</w:t>
      </w:r>
      <w:r w:rsidRPr="00FE33EA">
        <w:rPr>
          <w:rFonts w:ascii="Arial" w:eastAsiaTheme="minorEastAsia" w:hAnsi="Arial" w:cs="Arial"/>
          <w:lang w:val="el-GR"/>
        </w:rPr>
        <w:t xml:space="preserve"> είναι 2.850€, ποιο το κανονικό κόστος την 1/1/2013 (NC</w:t>
      </w:r>
      <w:r w:rsidRPr="00FE33EA">
        <w:rPr>
          <w:rFonts w:ascii="Arial" w:eastAsiaTheme="minorEastAsia" w:hAnsi="Arial" w:cs="Arial"/>
          <w:vertAlign w:val="subscript"/>
          <w:lang w:val="el-GR"/>
        </w:rPr>
        <w:t>1/1/2013</w:t>
      </w:r>
      <w:r w:rsidRPr="00FE33EA">
        <w:rPr>
          <w:rFonts w:ascii="Arial" w:eastAsiaTheme="minorEastAsia" w:hAnsi="Arial" w:cs="Arial"/>
          <w:lang w:val="el-GR"/>
        </w:rPr>
        <w:t>) εάν η περιουσία κατά την ημερομηνία αυτή είναι 10.000;</w:t>
      </w:r>
    </w:p>
    <w:tbl>
      <w:tblPr>
        <w:tblStyle w:val="a4"/>
        <w:tblW w:w="0" w:type="auto"/>
        <w:tblInd w:w="1384" w:type="dxa"/>
        <w:tblLook w:val="04A0"/>
      </w:tblPr>
      <w:tblGrid>
        <w:gridCol w:w="926"/>
        <w:gridCol w:w="1200"/>
        <w:gridCol w:w="851"/>
        <w:gridCol w:w="1134"/>
      </w:tblGrid>
      <w:tr w:rsidR="00606D98" w:rsidRPr="00FE33EA" w:rsidTr="003D3916">
        <w:tc>
          <w:tcPr>
            <w:tcW w:w="926" w:type="dxa"/>
          </w:tcPr>
          <w:p w:rsidR="00606D98" w:rsidRPr="00FE33EA" w:rsidRDefault="00606D98" w:rsidP="003D3916">
            <w:pPr>
              <w:jc w:val="both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Πλήθος</w:t>
            </w:r>
          </w:p>
        </w:tc>
        <w:tc>
          <w:tcPr>
            <w:tcW w:w="1200" w:type="dxa"/>
          </w:tcPr>
          <w:p w:rsidR="00606D98" w:rsidRPr="00FE33EA" w:rsidRDefault="00606D98" w:rsidP="003D3916">
            <w:pPr>
              <w:jc w:val="both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Ηλικία</w:t>
            </w:r>
          </w:p>
        </w:tc>
        <w:tc>
          <w:tcPr>
            <w:tcW w:w="851" w:type="dxa"/>
          </w:tcPr>
          <w:p w:rsidR="00606D98" w:rsidRPr="00FE33EA" w:rsidRDefault="00606D98" w:rsidP="003D3916">
            <w:pPr>
              <w:jc w:val="center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D</w:t>
            </w:r>
            <w:r w:rsidRPr="00FE33EA">
              <w:rPr>
                <w:rFonts w:ascii="Arial" w:eastAsiaTheme="minorEastAsia" w:hAnsi="Arial" w:cs="Arial"/>
                <w:vertAlign w:val="subscript"/>
                <w:lang w:val="el-GR"/>
              </w:rPr>
              <w:t>x</w:t>
            </w:r>
          </w:p>
        </w:tc>
        <w:tc>
          <w:tcPr>
            <w:tcW w:w="1134" w:type="dxa"/>
          </w:tcPr>
          <w:p w:rsidR="00606D98" w:rsidRPr="00FE33EA" w:rsidRDefault="00606D98" w:rsidP="003D3916">
            <w:pPr>
              <w:jc w:val="both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N</w:t>
            </w:r>
            <w:r w:rsidRPr="00FE33EA">
              <w:rPr>
                <w:rFonts w:ascii="Arial" w:eastAsiaTheme="minorEastAsia" w:hAnsi="Arial" w:cs="Arial"/>
                <w:vertAlign w:val="subscript"/>
                <w:lang w:val="el-GR"/>
              </w:rPr>
              <w:t>x</w:t>
            </w:r>
            <w:r w:rsidRPr="00FE33EA">
              <w:rPr>
                <w:rFonts w:ascii="Arial" w:eastAsiaTheme="minorEastAsia" w:hAnsi="Arial" w:cs="Arial"/>
                <w:lang w:val="el-GR"/>
              </w:rPr>
              <w:t>-N</w:t>
            </w:r>
            <w:r w:rsidRPr="00FE33EA">
              <w:rPr>
                <w:rFonts w:ascii="Arial" w:eastAsiaTheme="minorEastAsia" w:hAnsi="Arial" w:cs="Arial"/>
                <w:vertAlign w:val="subscript"/>
                <w:lang w:val="el-GR"/>
              </w:rPr>
              <w:t>65</w:t>
            </w:r>
          </w:p>
        </w:tc>
      </w:tr>
      <w:tr w:rsidR="00606D98" w:rsidRPr="00FE33EA" w:rsidTr="003D3916">
        <w:tc>
          <w:tcPr>
            <w:tcW w:w="926" w:type="dxa"/>
          </w:tcPr>
          <w:p w:rsidR="00606D98" w:rsidRPr="00FE33EA" w:rsidRDefault="00606D98" w:rsidP="003D3916">
            <w:pPr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7</w:t>
            </w:r>
          </w:p>
        </w:tc>
        <w:tc>
          <w:tcPr>
            <w:tcW w:w="1200" w:type="dxa"/>
          </w:tcPr>
          <w:p w:rsidR="00606D98" w:rsidRPr="00FE33EA" w:rsidRDefault="00606D98" w:rsidP="003D3916">
            <w:pPr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40</w:t>
            </w:r>
          </w:p>
        </w:tc>
        <w:tc>
          <w:tcPr>
            <w:tcW w:w="851" w:type="dxa"/>
          </w:tcPr>
          <w:p w:rsidR="00606D98" w:rsidRPr="00FE33EA" w:rsidRDefault="00606D98" w:rsidP="003D3916">
            <w:pPr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75</w:t>
            </w:r>
          </w:p>
        </w:tc>
        <w:tc>
          <w:tcPr>
            <w:tcW w:w="1134" w:type="dxa"/>
          </w:tcPr>
          <w:p w:rsidR="00606D98" w:rsidRPr="00FE33EA" w:rsidRDefault="00606D98" w:rsidP="003D3916">
            <w:pPr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800</w:t>
            </w:r>
          </w:p>
        </w:tc>
      </w:tr>
      <w:tr w:rsidR="00606D98" w:rsidRPr="00FE33EA" w:rsidTr="003D3916">
        <w:tc>
          <w:tcPr>
            <w:tcW w:w="926" w:type="dxa"/>
          </w:tcPr>
          <w:p w:rsidR="00606D98" w:rsidRPr="00FE33EA" w:rsidRDefault="00606D98" w:rsidP="003D3916">
            <w:pPr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0</w:t>
            </w:r>
          </w:p>
        </w:tc>
        <w:tc>
          <w:tcPr>
            <w:tcW w:w="1200" w:type="dxa"/>
          </w:tcPr>
          <w:p w:rsidR="00606D98" w:rsidRPr="00FE33EA" w:rsidRDefault="00606D98" w:rsidP="003D3916">
            <w:pPr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41</w:t>
            </w:r>
          </w:p>
        </w:tc>
        <w:tc>
          <w:tcPr>
            <w:tcW w:w="851" w:type="dxa"/>
          </w:tcPr>
          <w:p w:rsidR="00606D98" w:rsidRPr="00FE33EA" w:rsidRDefault="00606D98" w:rsidP="003D3916">
            <w:pPr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70</w:t>
            </w:r>
          </w:p>
        </w:tc>
        <w:tc>
          <w:tcPr>
            <w:tcW w:w="1134" w:type="dxa"/>
          </w:tcPr>
          <w:p w:rsidR="00606D98" w:rsidRPr="00FE33EA" w:rsidRDefault="00606D98" w:rsidP="003D3916">
            <w:pPr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700</w:t>
            </w:r>
          </w:p>
        </w:tc>
      </w:tr>
      <w:tr w:rsidR="00606D98" w:rsidRPr="00FE33EA" w:rsidTr="003D3916">
        <w:tc>
          <w:tcPr>
            <w:tcW w:w="926" w:type="dxa"/>
          </w:tcPr>
          <w:p w:rsidR="00606D98" w:rsidRPr="00FE33EA" w:rsidRDefault="00606D98" w:rsidP="003D3916">
            <w:pPr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0</w:t>
            </w:r>
          </w:p>
        </w:tc>
        <w:tc>
          <w:tcPr>
            <w:tcW w:w="1200" w:type="dxa"/>
          </w:tcPr>
          <w:p w:rsidR="00606D98" w:rsidRPr="00FE33EA" w:rsidRDefault="00606D98" w:rsidP="003D3916">
            <w:pPr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65</w:t>
            </w:r>
          </w:p>
        </w:tc>
        <w:tc>
          <w:tcPr>
            <w:tcW w:w="851" w:type="dxa"/>
          </w:tcPr>
          <w:p w:rsidR="00606D98" w:rsidRPr="00FE33EA" w:rsidRDefault="00606D98" w:rsidP="003D3916">
            <w:pPr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10</w:t>
            </w:r>
          </w:p>
        </w:tc>
        <w:tc>
          <w:tcPr>
            <w:tcW w:w="1134" w:type="dxa"/>
          </w:tcPr>
          <w:p w:rsidR="00606D98" w:rsidRPr="00FE33EA" w:rsidRDefault="00606D98" w:rsidP="003D3916">
            <w:pPr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0</w:t>
            </w:r>
          </w:p>
        </w:tc>
      </w:tr>
    </w:tbl>
    <w:p w:rsidR="00606D98" w:rsidRPr="00FE33EA" w:rsidRDefault="00606D98" w:rsidP="00606D98">
      <w:pPr>
        <w:pStyle w:val="a7"/>
        <w:ind w:left="1440"/>
        <w:jc w:val="both"/>
        <w:rPr>
          <w:rFonts w:ascii="Arial" w:eastAsiaTheme="minorEastAsia" w:hAnsi="Arial" w:cs="Arial"/>
          <w:lang w:val="el-GR"/>
        </w:rPr>
      </w:pPr>
    </w:p>
    <w:p w:rsidR="00606D98" w:rsidRPr="00FE33EA" w:rsidRDefault="00606D98" w:rsidP="00771CCD">
      <w:pPr>
        <w:pStyle w:val="a7"/>
        <w:numPr>
          <w:ilvl w:val="1"/>
          <w:numId w:val="29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2.752€</w:t>
      </w:r>
    </w:p>
    <w:p w:rsidR="00606D98" w:rsidRPr="00FE33EA" w:rsidRDefault="00606D98" w:rsidP="00771CCD">
      <w:pPr>
        <w:pStyle w:val="a7"/>
        <w:numPr>
          <w:ilvl w:val="1"/>
          <w:numId w:val="29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2.527€</w:t>
      </w:r>
    </w:p>
    <w:p w:rsidR="00606D98" w:rsidRPr="00FE33EA" w:rsidRDefault="00606D98" w:rsidP="00771CCD">
      <w:pPr>
        <w:pStyle w:val="a7"/>
        <w:numPr>
          <w:ilvl w:val="1"/>
          <w:numId w:val="29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2.257€</w:t>
      </w:r>
    </w:p>
    <w:p w:rsidR="00606D98" w:rsidRPr="00FE33EA" w:rsidRDefault="00606D98" w:rsidP="00771CCD">
      <w:pPr>
        <w:pStyle w:val="a7"/>
        <w:numPr>
          <w:ilvl w:val="1"/>
          <w:numId w:val="29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2.057€</w:t>
      </w:r>
    </w:p>
    <w:p w:rsidR="00606D98" w:rsidRPr="00FE33EA" w:rsidRDefault="00606D98" w:rsidP="00771CCD">
      <w:pPr>
        <w:pStyle w:val="a7"/>
        <w:numPr>
          <w:ilvl w:val="1"/>
          <w:numId w:val="29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2.000€</w:t>
      </w:r>
    </w:p>
    <w:p w:rsidR="00606D98" w:rsidRPr="00FE33EA" w:rsidRDefault="00606D98" w:rsidP="00606D98">
      <w:pPr>
        <w:pStyle w:val="a7"/>
        <w:ind w:left="1080"/>
        <w:jc w:val="both"/>
        <w:rPr>
          <w:rFonts w:ascii="Arial" w:eastAsiaTheme="minorEastAsia" w:hAnsi="Arial" w:cs="Arial"/>
          <w:lang w:val="el-GR"/>
        </w:rPr>
      </w:pPr>
    </w:p>
    <w:p w:rsidR="00606D98" w:rsidRPr="00FE33EA" w:rsidRDefault="00606D98" w:rsidP="00606D98">
      <w:pPr>
        <w:pStyle w:val="a7"/>
        <w:numPr>
          <w:ilvl w:val="0"/>
          <w:numId w:val="38"/>
        </w:numPr>
        <w:spacing w:after="120"/>
        <w:ind w:left="720" w:hanging="720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Δεδομένα από την αποτίμηση ενός πλάνου με έναρξη την 1/1/2012 εμφανίζονται στον παρακάτω πίνακα. Το επιτόκιο είναι 5% και η εισφορά του 2012 ίση προς 50.000€ καταβάλλεται την 1/1/2012.  Εάν γνωρίζουμε ότι δεν πληρώθηκαν παροχές μέσα στο 2012, το κανονικό κόστος την 1/1/2013 κάτω από την μέθοδο παγωμένης αρχικής  υποχρέωσης, FIL (AAN) ισούται προς:</w:t>
      </w:r>
    </w:p>
    <w:tbl>
      <w:tblPr>
        <w:tblStyle w:val="a4"/>
        <w:tblW w:w="0" w:type="auto"/>
        <w:tblInd w:w="1384" w:type="dxa"/>
        <w:tblLook w:val="04A0"/>
      </w:tblPr>
      <w:tblGrid>
        <w:gridCol w:w="4904"/>
        <w:gridCol w:w="1117"/>
        <w:gridCol w:w="1117"/>
      </w:tblGrid>
      <w:tr w:rsidR="00606D98" w:rsidRPr="00FE33EA" w:rsidTr="003D3916">
        <w:tc>
          <w:tcPr>
            <w:tcW w:w="5387" w:type="dxa"/>
          </w:tcPr>
          <w:p w:rsidR="00606D98" w:rsidRPr="00FE33EA" w:rsidRDefault="00606D98" w:rsidP="003D3916">
            <w:pPr>
              <w:jc w:val="both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Στοιχείο</w:t>
            </w:r>
          </w:p>
        </w:tc>
        <w:tc>
          <w:tcPr>
            <w:tcW w:w="1134" w:type="dxa"/>
          </w:tcPr>
          <w:p w:rsidR="00606D98" w:rsidRPr="00FE33EA" w:rsidRDefault="00606D98" w:rsidP="003D3916">
            <w:pPr>
              <w:jc w:val="both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1/1/2012</w:t>
            </w:r>
          </w:p>
        </w:tc>
        <w:tc>
          <w:tcPr>
            <w:tcW w:w="1134" w:type="dxa"/>
          </w:tcPr>
          <w:p w:rsidR="00606D98" w:rsidRPr="00FE33EA" w:rsidRDefault="00606D98" w:rsidP="003D3916">
            <w:pPr>
              <w:jc w:val="both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1/1/2013</w:t>
            </w:r>
          </w:p>
        </w:tc>
      </w:tr>
      <w:tr w:rsidR="00606D98" w:rsidRPr="00FE33EA" w:rsidTr="003D3916">
        <w:tc>
          <w:tcPr>
            <w:tcW w:w="5387" w:type="dxa"/>
          </w:tcPr>
          <w:p w:rsidR="00606D98" w:rsidRPr="00FE33EA" w:rsidRDefault="00606D98" w:rsidP="003D3916">
            <w:pPr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Παρούσα αξία μελλοντικών παροχών</w:t>
            </w:r>
          </w:p>
        </w:tc>
        <w:tc>
          <w:tcPr>
            <w:tcW w:w="1134" w:type="dxa"/>
          </w:tcPr>
          <w:p w:rsidR="00606D98" w:rsidRPr="00FE33EA" w:rsidRDefault="00606D98" w:rsidP="003D3916">
            <w:pPr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500.000</w:t>
            </w:r>
          </w:p>
        </w:tc>
        <w:tc>
          <w:tcPr>
            <w:tcW w:w="1134" w:type="dxa"/>
          </w:tcPr>
          <w:p w:rsidR="00606D98" w:rsidRPr="00FE33EA" w:rsidRDefault="00606D98" w:rsidP="003D3916">
            <w:pPr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600.000</w:t>
            </w:r>
          </w:p>
        </w:tc>
      </w:tr>
      <w:tr w:rsidR="00606D98" w:rsidRPr="00FE33EA" w:rsidTr="003D3916">
        <w:tc>
          <w:tcPr>
            <w:tcW w:w="5387" w:type="dxa"/>
          </w:tcPr>
          <w:p w:rsidR="00606D98" w:rsidRPr="00FE33EA" w:rsidRDefault="00606D98" w:rsidP="003D3916">
            <w:pPr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Αναλογιστική Υποχρέωση</w:t>
            </w:r>
          </w:p>
        </w:tc>
        <w:tc>
          <w:tcPr>
            <w:tcW w:w="1134" w:type="dxa"/>
          </w:tcPr>
          <w:p w:rsidR="00606D98" w:rsidRPr="00FE33EA" w:rsidRDefault="00606D98" w:rsidP="003D3916">
            <w:pPr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200.000</w:t>
            </w:r>
          </w:p>
        </w:tc>
        <w:tc>
          <w:tcPr>
            <w:tcW w:w="1134" w:type="dxa"/>
          </w:tcPr>
          <w:p w:rsidR="00606D98" w:rsidRPr="00FE33EA" w:rsidRDefault="00606D98" w:rsidP="003D3916">
            <w:pPr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-</w:t>
            </w:r>
          </w:p>
        </w:tc>
      </w:tr>
      <w:tr w:rsidR="00606D98" w:rsidRPr="00FE33EA" w:rsidTr="003D3916">
        <w:tc>
          <w:tcPr>
            <w:tcW w:w="5387" w:type="dxa"/>
          </w:tcPr>
          <w:p w:rsidR="00606D98" w:rsidRPr="00FE33EA" w:rsidRDefault="00606D98" w:rsidP="003D3916">
            <w:pPr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Αναλογία παρούσας αξίας μελλοντικών μισθών προς τρέχοντες μισθούς</w:t>
            </w:r>
          </w:p>
        </w:tc>
        <w:tc>
          <w:tcPr>
            <w:tcW w:w="1134" w:type="dxa"/>
          </w:tcPr>
          <w:p w:rsidR="00606D98" w:rsidRPr="00FE33EA" w:rsidRDefault="00606D98" w:rsidP="003D3916">
            <w:pPr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10</w:t>
            </w:r>
          </w:p>
        </w:tc>
        <w:tc>
          <w:tcPr>
            <w:tcW w:w="1134" w:type="dxa"/>
          </w:tcPr>
          <w:p w:rsidR="00606D98" w:rsidRPr="00FE33EA" w:rsidRDefault="00606D98" w:rsidP="003D3916">
            <w:pPr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11</w:t>
            </w:r>
          </w:p>
        </w:tc>
      </w:tr>
    </w:tbl>
    <w:p w:rsidR="00606D98" w:rsidRPr="00FE33EA" w:rsidRDefault="00606D98" w:rsidP="00606D98">
      <w:pPr>
        <w:pStyle w:val="a7"/>
        <w:ind w:left="1440"/>
        <w:jc w:val="both"/>
        <w:rPr>
          <w:rFonts w:ascii="Arial" w:eastAsiaTheme="minorEastAsia" w:hAnsi="Arial" w:cs="Arial"/>
          <w:lang w:val="el-GR"/>
        </w:rPr>
      </w:pPr>
    </w:p>
    <w:p w:rsidR="00606D98" w:rsidRPr="00FE33EA" w:rsidRDefault="00606D98" w:rsidP="00771CCD">
      <w:pPr>
        <w:pStyle w:val="a7"/>
        <w:numPr>
          <w:ilvl w:val="1"/>
          <w:numId w:val="30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33.636,36€</w:t>
      </w:r>
    </w:p>
    <w:p w:rsidR="00606D98" w:rsidRPr="00FE33EA" w:rsidRDefault="00606D98" w:rsidP="00771CCD">
      <w:pPr>
        <w:pStyle w:val="a7"/>
        <w:numPr>
          <w:ilvl w:val="1"/>
          <w:numId w:val="30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33.409,10€</w:t>
      </w:r>
    </w:p>
    <w:p w:rsidR="00606D98" w:rsidRPr="00FE33EA" w:rsidRDefault="00606D98" w:rsidP="00771CCD">
      <w:pPr>
        <w:pStyle w:val="a7"/>
        <w:numPr>
          <w:ilvl w:val="1"/>
          <w:numId w:val="30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32.818,18€</w:t>
      </w:r>
    </w:p>
    <w:p w:rsidR="00606D98" w:rsidRPr="00FE33EA" w:rsidRDefault="00606D98" w:rsidP="00771CCD">
      <w:pPr>
        <w:pStyle w:val="a7"/>
        <w:numPr>
          <w:ilvl w:val="1"/>
          <w:numId w:val="30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32.590,91€</w:t>
      </w:r>
    </w:p>
    <w:p w:rsidR="00606D98" w:rsidRPr="00FE33EA" w:rsidRDefault="00606D98" w:rsidP="00771CCD">
      <w:pPr>
        <w:pStyle w:val="a7"/>
        <w:numPr>
          <w:ilvl w:val="1"/>
          <w:numId w:val="30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32.363,64€</w:t>
      </w:r>
    </w:p>
    <w:p w:rsidR="00606D98" w:rsidRPr="00FE33EA" w:rsidRDefault="00606D98" w:rsidP="00606D98">
      <w:pPr>
        <w:pStyle w:val="a7"/>
        <w:spacing w:after="200" w:line="276" w:lineRule="auto"/>
        <w:ind w:left="1080"/>
        <w:jc w:val="both"/>
        <w:rPr>
          <w:rFonts w:ascii="Arial" w:eastAsiaTheme="minorEastAsia" w:hAnsi="Arial" w:cs="Arial"/>
          <w:lang w:val="el-GR"/>
        </w:rPr>
      </w:pPr>
    </w:p>
    <w:p w:rsidR="00606D98" w:rsidRPr="00FE33EA" w:rsidRDefault="00606D98" w:rsidP="00606D98">
      <w:pPr>
        <w:pStyle w:val="a7"/>
        <w:numPr>
          <w:ilvl w:val="0"/>
          <w:numId w:val="38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 xml:space="preserve">Η παροχή στα 65 συνταξιοδοτικού πλάνου με έναρξη 1/1/2012 είναι 300€ το μήνα για κάθε έτος υπηρεσίας. Στο μοναδικό ασφαλισμένο του πλάνου που την 1/1/2012 είναι 45 ετών, αναγνωρίζεται η προϋπηρεσία του από την ηλικία των 25 ετών. Εάν εφαρμόζεται η Accrued Benefit Cost without Supplemental Liability, CA (Μέθοδος συσσωρευμένου  κόστους  χωρίς αναγνώριση πρόσθετης υποχρέωσης), ο ασφαλισμένος στην έναρξη του πλάνου έχει σωρευμένη παροχή </w:t>
      </w:r>
      <m:oMath>
        <m:sSubSup>
          <m:sSubSupPr>
            <m:ctrlPr>
              <w:rPr>
                <w:rFonts w:ascii="Cambria Math" w:eastAsiaTheme="minorEastAsia" w:hAnsi="Cambria Math" w:cs="Arial"/>
                <w:lang w:val="el-GR"/>
              </w:rPr>
            </m:ctrlPr>
          </m:sSubSupPr>
          <m:e>
            <m:sPre>
              <m:sPrePr>
                <m:ctrlPr>
                  <w:rPr>
                    <w:rFonts w:ascii="Cambria Math" w:eastAsiaTheme="minorEastAsia" w:hAnsi="Cambria Math" w:cs="Arial"/>
                    <w:lang w:val="el-GR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lang w:val="el-GR"/>
                  </w:rPr>
                  <m:t>CA</m:t>
                </m:r>
              </m:sup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lang w:val="el-GR"/>
                  </w:rPr>
                  <m:t>B</m:t>
                </m:r>
              </m:e>
            </m:sPre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lang w:val="el-GR"/>
              </w:rPr>
              <m:t>45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Arial"/>
                <w:lang w:val="el-GR"/>
              </w:rPr>
              <m:t>T</m:t>
            </m:r>
          </m:sup>
        </m:sSubSup>
      </m:oMath>
      <w:r w:rsidRPr="00FE33EA">
        <w:rPr>
          <w:rFonts w:ascii="Arial" w:eastAsiaTheme="minorEastAsia" w:hAnsi="Arial" w:cs="Arial"/>
          <w:lang w:val="el-GR"/>
        </w:rPr>
        <w:t xml:space="preserve"> ίση προς:</w:t>
      </w:r>
    </w:p>
    <w:p w:rsidR="00606D98" w:rsidRPr="00FE33EA" w:rsidRDefault="00606D98" w:rsidP="00606D98">
      <w:pPr>
        <w:pStyle w:val="a7"/>
        <w:spacing w:after="120"/>
        <w:ind w:left="360"/>
        <w:jc w:val="both"/>
        <w:rPr>
          <w:rFonts w:ascii="Arial" w:eastAsiaTheme="minorEastAsia" w:hAnsi="Arial" w:cs="Arial"/>
          <w:lang w:val="el-GR"/>
        </w:rPr>
      </w:pPr>
    </w:p>
    <w:p w:rsidR="00606D98" w:rsidRPr="00FE33EA" w:rsidRDefault="00606D98" w:rsidP="00771CCD">
      <w:pPr>
        <w:pStyle w:val="a7"/>
        <w:numPr>
          <w:ilvl w:val="1"/>
          <w:numId w:val="31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80.000€</w:t>
      </w:r>
    </w:p>
    <w:p w:rsidR="00606D98" w:rsidRPr="00FE33EA" w:rsidRDefault="00606D98" w:rsidP="00771CCD">
      <w:pPr>
        <w:pStyle w:val="a7"/>
        <w:numPr>
          <w:ilvl w:val="1"/>
          <w:numId w:val="31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72.000€</w:t>
      </w:r>
    </w:p>
    <w:p w:rsidR="00606D98" w:rsidRPr="00FE33EA" w:rsidRDefault="00606D98" w:rsidP="00771CCD">
      <w:pPr>
        <w:pStyle w:val="a7"/>
        <w:numPr>
          <w:ilvl w:val="1"/>
          <w:numId w:val="31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40.000€</w:t>
      </w:r>
    </w:p>
    <w:p w:rsidR="00606D98" w:rsidRPr="00FE33EA" w:rsidRDefault="00606D98" w:rsidP="00771CCD">
      <w:pPr>
        <w:pStyle w:val="a7"/>
        <w:numPr>
          <w:ilvl w:val="1"/>
          <w:numId w:val="31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36.000€</w:t>
      </w:r>
    </w:p>
    <w:p w:rsidR="00606D98" w:rsidRPr="00FE33EA" w:rsidRDefault="00606D98" w:rsidP="00771CCD">
      <w:pPr>
        <w:pStyle w:val="a7"/>
        <w:numPr>
          <w:ilvl w:val="1"/>
          <w:numId w:val="31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30.000€</w:t>
      </w:r>
    </w:p>
    <w:p w:rsidR="00606D98" w:rsidRPr="00FE33EA" w:rsidRDefault="00606D98" w:rsidP="00606D98">
      <w:pPr>
        <w:pStyle w:val="a7"/>
        <w:spacing w:after="120"/>
        <w:ind w:left="1440"/>
        <w:jc w:val="both"/>
        <w:rPr>
          <w:rFonts w:ascii="Arial" w:eastAsiaTheme="minorEastAsia" w:hAnsi="Arial" w:cs="Arial"/>
          <w:lang w:val="el-GR"/>
        </w:rPr>
      </w:pPr>
    </w:p>
    <w:p w:rsidR="00606D98" w:rsidRPr="00FE33EA" w:rsidRDefault="00606D98" w:rsidP="00606D98">
      <w:pPr>
        <w:pStyle w:val="a7"/>
        <w:numPr>
          <w:ilvl w:val="0"/>
          <w:numId w:val="38"/>
        </w:numPr>
        <w:spacing w:after="120"/>
        <w:jc w:val="both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lastRenderedPageBreak/>
        <w:t xml:space="preserve">Με βάση τα παρακάτω δεδομένα από τον ετήσιο Κοινωνικό Προϋπολογισμό του 2000 (σε εκατομμύρια) προκύπτει ότι ο Δείκτης Παροχών ισούται προς: 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4077"/>
        <w:gridCol w:w="1985"/>
      </w:tblGrid>
      <w:tr w:rsidR="00606D98" w:rsidRPr="00FE33EA" w:rsidTr="003D3916">
        <w:trPr>
          <w:jc w:val="center"/>
        </w:trPr>
        <w:tc>
          <w:tcPr>
            <w:tcW w:w="4077" w:type="dxa"/>
            <w:vAlign w:val="center"/>
          </w:tcPr>
          <w:p w:rsidR="00606D98" w:rsidRPr="00FE33EA" w:rsidRDefault="00606D98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Συνολικός αριθμός συνταξιούχων</w:t>
            </w:r>
          </w:p>
        </w:tc>
        <w:tc>
          <w:tcPr>
            <w:tcW w:w="1985" w:type="dxa"/>
            <w:vAlign w:val="center"/>
          </w:tcPr>
          <w:p w:rsidR="00606D98" w:rsidRPr="00FE33EA" w:rsidRDefault="00606D98" w:rsidP="003D3916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FE33EA">
              <w:rPr>
                <w:rFonts w:ascii="Arial" w:hAnsi="Arial" w:cs="Arial"/>
                <w:color w:val="000000"/>
                <w:lang w:val="el-GR"/>
              </w:rPr>
              <w:t xml:space="preserve"> 1.213</w:t>
            </w:r>
          </w:p>
        </w:tc>
      </w:tr>
      <w:tr w:rsidR="00606D98" w:rsidRPr="00FE33EA" w:rsidTr="003D3916">
        <w:trPr>
          <w:jc w:val="center"/>
        </w:trPr>
        <w:tc>
          <w:tcPr>
            <w:tcW w:w="4077" w:type="dxa"/>
            <w:vAlign w:val="center"/>
          </w:tcPr>
          <w:p w:rsidR="00606D98" w:rsidRPr="00FE33EA" w:rsidRDefault="00606D98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>Συνολικός αριθμός ενεργών ασφαλισμένων</w:t>
            </w:r>
          </w:p>
        </w:tc>
        <w:tc>
          <w:tcPr>
            <w:tcW w:w="1985" w:type="dxa"/>
            <w:vAlign w:val="center"/>
          </w:tcPr>
          <w:p w:rsidR="00606D98" w:rsidRPr="00FE33EA" w:rsidRDefault="00606D98" w:rsidP="003D3916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FE33EA">
              <w:rPr>
                <w:rFonts w:ascii="Arial" w:hAnsi="Arial" w:cs="Arial"/>
                <w:color w:val="000000"/>
                <w:lang w:val="el-GR"/>
              </w:rPr>
              <w:t xml:space="preserve"> 2.056</w:t>
            </w:r>
          </w:p>
        </w:tc>
      </w:tr>
      <w:tr w:rsidR="00606D98" w:rsidRPr="00FE33EA" w:rsidTr="003D3916">
        <w:trPr>
          <w:jc w:val="center"/>
        </w:trPr>
        <w:tc>
          <w:tcPr>
            <w:tcW w:w="4077" w:type="dxa"/>
            <w:vAlign w:val="center"/>
          </w:tcPr>
          <w:p w:rsidR="00606D98" w:rsidRPr="00FE33EA" w:rsidRDefault="00606D98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 xml:space="preserve">Σύνολο Συνταξιοδοτικών Παροχών </w:t>
            </w:r>
          </w:p>
        </w:tc>
        <w:tc>
          <w:tcPr>
            <w:tcW w:w="1985" w:type="dxa"/>
            <w:vAlign w:val="center"/>
          </w:tcPr>
          <w:p w:rsidR="00606D98" w:rsidRPr="00FE33EA" w:rsidRDefault="00606D98" w:rsidP="003D3916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FE33EA">
              <w:rPr>
                <w:rFonts w:ascii="Arial" w:hAnsi="Arial" w:cs="Arial"/>
                <w:color w:val="000000"/>
                <w:lang w:val="el-GR"/>
              </w:rPr>
              <w:t>14.600</w:t>
            </w:r>
          </w:p>
        </w:tc>
      </w:tr>
      <w:tr w:rsidR="00606D98" w:rsidRPr="00FE33EA" w:rsidTr="003D3916">
        <w:trPr>
          <w:jc w:val="center"/>
        </w:trPr>
        <w:tc>
          <w:tcPr>
            <w:tcW w:w="4077" w:type="dxa"/>
            <w:vAlign w:val="center"/>
          </w:tcPr>
          <w:p w:rsidR="00606D98" w:rsidRPr="00FE33EA" w:rsidRDefault="00606D98" w:rsidP="003D3916">
            <w:pPr>
              <w:spacing w:before="40" w:after="40"/>
              <w:jc w:val="center"/>
              <w:rPr>
                <w:rFonts w:ascii="Arial" w:hAnsi="Arial" w:cs="Arial"/>
                <w:lang w:val="el-GR"/>
              </w:rPr>
            </w:pPr>
            <w:r w:rsidRPr="00FE33EA">
              <w:rPr>
                <w:rFonts w:ascii="Arial" w:hAnsi="Arial" w:cs="Arial"/>
                <w:lang w:val="el-GR"/>
              </w:rPr>
              <w:t xml:space="preserve">Συνολικό Μισθολόγιο </w:t>
            </w:r>
          </w:p>
        </w:tc>
        <w:tc>
          <w:tcPr>
            <w:tcW w:w="1985" w:type="dxa"/>
            <w:vAlign w:val="center"/>
          </w:tcPr>
          <w:p w:rsidR="00606D98" w:rsidRPr="00FE33EA" w:rsidRDefault="00606D98" w:rsidP="003D3916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FE33EA">
              <w:rPr>
                <w:rFonts w:ascii="Arial" w:hAnsi="Arial" w:cs="Arial"/>
                <w:color w:val="000000"/>
                <w:lang w:val="el-GR"/>
              </w:rPr>
              <w:t>45.288</w:t>
            </w:r>
          </w:p>
        </w:tc>
      </w:tr>
    </w:tbl>
    <w:p w:rsidR="00606D98" w:rsidRPr="00FE33EA" w:rsidRDefault="00606D98" w:rsidP="00606D98">
      <w:pPr>
        <w:pStyle w:val="a7"/>
        <w:rPr>
          <w:rFonts w:ascii="Arial" w:hAnsi="Arial" w:cs="Arial"/>
          <w:lang w:val="el-GR"/>
        </w:rPr>
      </w:pPr>
    </w:p>
    <w:p w:rsidR="00606D98" w:rsidRPr="00FE33EA" w:rsidRDefault="00606D98" w:rsidP="00606D98">
      <w:pPr>
        <w:pStyle w:val="a7"/>
        <w:rPr>
          <w:rFonts w:ascii="Arial" w:hAnsi="Arial" w:cs="Arial"/>
          <w:lang w:val="el-GR"/>
        </w:rPr>
      </w:pPr>
    </w:p>
    <w:p w:rsidR="00606D98" w:rsidRPr="00FE33EA" w:rsidRDefault="00606D98" w:rsidP="00606D98">
      <w:pPr>
        <w:pStyle w:val="a7"/>
        <w:numPr>
          <w:ilvl w:val="0"/>
          <w:numId w:val="32"/>
        </w:numPr>
        <w:spacing w:after="12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66,28%</w:t>
      </w:r>
    </w:p>
    <w:p w:rsidR="00606D98" w:rsidRPr="00FE33EA" w:rsidRDefault="00606D98" w:rsidP="00606D98">
      <w:pPr>
        <w:pStyle w:val="a7"/>
        <w:numPr>
          <w:ilvl w:val="0"/>
          <w:numId w:val="32"/>
        </w:numPr>
        <w:spacing w:after="12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59,00%</w:t>
      </w:r>
    </w:p>
    <w:p w:rsidR="00606D98" w:rsidRPr="00FE33EA" w:rsidRDefault="00606D98" w:rsidP="00606D98">
      <w:pPr>
        <w:pStyle w:val="a7"/>
        <w:numPr>
          <w:ilvl w:val="0"/>
          <w:numId w:val="32"/>
        </w:numPr>
        <w:spacing w:after="12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54,64%</w:t>
      </w:r>
    </w:p>
    <w:p w:rsidR="00606D98" w:rsidRPr="00FE33EA" w:rsidRDefault="00606D98" w:rsidP="00606D98">
      <w:pPr>
        <w:pStyle w:val="a7"/>
        <w:numPr>
          <w:ilvl w:val="0"/>
          <w:numId w:val="32"/>
        </w:numPr>
        <w:spacing w:after="12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39,10%</w:t>
      </w:r>
    </w:p>
    <w:p w:rsidR="00606D98" w:rsidRPr="00FE33EA" w:rsidRDefault="00606D98" w:rsidP="00606D98">
      <w:pPr>
        <w:pStyle w:val="a7"/>
        <w:numPr>
          <w:ilvl w:val="0"/>
          <w:numId w:val="32"/>
        </w:numPr>
        <w:spacing w:after="120"/>
        <w:rPr>
          <w:rFonts w:ascii="Arial" w:hAnsi="Arial" w:cs="Arial"/>
          <w:lang w:val="el-GR"/>
        </w:rPr>
      </w:pPr>
      <w:r w:rsidRPr="00FE33EA">
        <w:rPr>
          <w:rFonts w:ascii="Arial" w:hAnsi="Arial" w:cs="Arial"/>
          <w:lang w:val="el-GR"/>
        </w:rPr>
        <w:t>32,24%</w:t>
      </w:r>
    </w:p>
    <w:p w:rsidR="00893342" w:rsidRPr="00FE33EA" w:rsidRDefault="00893342" w:rsidP="00893342">
      <w:pPr>
        <w:spacing w:after="120"/>
        <w:rPr>
          <w:rFonts w:ascii="Arial" w:eastAsiaTheme="minorEastAsia" w:hAnsi="Arial" w:cs="Arial"/>
          <w:lang w:val="en-US"/>
        </w:rPr>
      </w:pPr>
    </w:p>
    <w:p w:rsidR="00606D98" w:rsidRPr="00FE33EA" w:rsidRDefault="00606D98" w:rsidP="00771CCD">
      <w:pPr>
        <w:pStyle w:val="a7"/>
        <w:numPr>
          <w:ilvl w:val="0"/>
          <w:numId w:val="39"/>
        </w:numPr>
        <w:spacing w:after="120"/>
        <w:ind w:left="357" w:hanging="357"/>
        <w:rPr>
          <w:rFonts w:ascii="Arial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Συνταξιοδοτικό πλάνο παρέχει στην ηλικία των 65 ετών σύνταξη €1.000 ετησίως</w:t>
      </w:r>
      <w:r w:rsidR="00771CCD" w:rsidRPr="00FE33EA">
        <w:rPr>
          <w:rFonts w:ascii="Arial" w:eastAsiaTheme="minorEastAsia" w:hAnsi="Arial" w:cs="Arial"/>
          <w:lang w:val="el-GR"/>
        </w:rPr>
        <w:t>.</w:t>
      </w:r>
      <w:r w:rsidR="00771CCD" w:rsidRPr="00FE33EA">
        <w:rPr>
          <w:rFonts w:ascii="Arial" w:eastAsiaTheme="minorEastAsia" w:hAnsi="Arial" w:cs="Arial"/>
          <w:lang w:val="en-US"/>
        </w:rPr>
        <w:t xml:space="preserve"> </w:t>
      </w:r>
      <w:r w:rsidR="00771CCD" w:rsidRPr="00FE33EA">
        <w:rPr>
          <w:rFonts w:ascii="Arial" w:eastAsiaTheme="minorEastAsia" w:hAnsi="Arial" w:cs="Arial"/>
          <w:lang w:val="el-GR"/>
        </w:rPr>
        <w:t>Κ</w:t>
      </w:r>
      <w:r w:rsidRPr="00FE33EA">
        <w:rPr>
          <w:rFonts w:ascii="Arial" w:eastAsiaTheme="minorEastAsia" w:hAnsi="Arial" w:cs="Arial"/>
          <w:lang w:val="el-GR"/>
        </w:rPr>
        <w:t>ατά τη χρονική στιγμή t=0, το πλάνο έχει περιουσία ίση προς €6.800 και καλύπτει τους ενεργούς εργαζόμενους των 30 και 64 ετών σύμφωνα προς τον παρακάτω πίνακα.</w:t>
      </w:r>
    </w:p>
    <w:p w:rsidR="00606D98" w:rsidRPr="00FE33EA" w:rsidRDefault="00606D98" w:rsidP="00606D98">
      <w:pPr>
        <w:pStyle w:val="a7"/>
        <w:spacing w:after="120"/>
        <w:ind w:hanging="720"/>
        <w:jc w:val="both"/>
        <w:rPr>
          <w:rFonts w:ascii="Arial" w:hAnsi="Arial" w:cs="Arial"/>
          <w:lang w:val="el-GR"/>
        </w:rPr>
      </w:pPr>
    </w:p>
    <w:tbl>
      <w:tblPr>
        <w:tblStyle w:val="a4"/>
        <w:tblW w:w="0" w:type="auto"/>
        <w:tblInd w:w="1384" w:type="dxa"/>
        <w:tblLayout w:type="fixed"/>
        <w:tblLook w:val="04A0"/>
      </w:tblPr>
      <w:tblGrid>
        <w:gridCol w:w="926"/>
        <w:gridCol w:w="1200"/>
        <w:gridCol w:w="1134"/>
        <w:gridCol w:w="1134"/>
      </w:tblGrid>
      <w:tr w:rsidR="00606D98" w:rsidRPr="00FE33EA" w:rsidTr="003D3916">
        <w:trPr>
          <w:trHeight w:val="829"/>
        </w:trPr>
        <w:tc>
          <w:tcPr>
            <w:tcW w:w="926" w:type="dxa"/>
          </w:tcPr>
          <w:p w:rsidR="00606D98" w:rsidRPr="00FE33EA" w:rsidRDefault="00606D98" w:rsidP="003D3916">
            <w:pPr>
              <w:spacing w:after="120"/>
              <w:ind w:hanging="720"/>
              <w:jc w:val="right"/>
              <w:rPr>
                <w:rFonts w:ascii="Arial" w:eastAsiaTheme="minorEastAsia" w:hAnsi="Arial" w:cs="Arial"/>
                <w:lang w:val="el-GR"/>
              </w:rPr>
            </w:pPr>
          </w:p>
          <w:p w:rsidR="00606D98" w:rsidRPr="00FE33EA" w:rsidRDefault="00606D98" w:rsidP="003D3916">
            <w:pPr>
              <w:spacing w:after="120"/>
              <w:ind w:hanging="720"/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Πλήθος</w:t>
            </w:r>
          </w:p>
        </w:tc>
        <w:tc>
          <w:tcPr>
            <w:tcW w:w="1200" w:type="dxa"/>
          </w:tcPr>
          <w:p w:rsidR="00606D98" w:rsidRPr="00FE33EA" w:rsidRDefault="00606D98" w:rsidP="003D3916">
            <w:pPr>
              <w:spacing w:after="120"/>
              <w:ind w:hanging="720"/>
              <w:jc w:val="right"/>
              <w:rPr>
                <w:rFonts w:ascii="Arial" w:eastAsiaTheme="minorEastAsia" w:hAnsi="Arial" w:cs="Arial"/>
                <w:lang w:val="el-GR"/>
              </w:rPr>
            </w:pPr>
          </w:p>
          <w:p w:rsidR="00606D98" w:rsidRPr="00FE33EA" w:rsidRDefault="00606D98" w:rsidP="003D3916">
            <w:pPr>
              <w:spacing w:after="120"/>
              <w:ind w:hanging="720"/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Ηλικία</w:t>
            </w:r>
          </w:p>
        </w:tc>
        <w:tc>
          <w:tcPr>
            <w:tcW w:w="1134" w:type="dxa"/>
          </w:tcPr>
          <w:p w:rsidR="00606D98" w:rsidRPr="00FE33EA" w:rsidRDefault="00D908AF" w:rsidP="003D3916">
            <w:pPr>
              <w:spacing w:after="120"/>
              <w:ind w:hanging="720"/>
              <w:jc w:val="right"/>
              <w:rPr>
                <w:rFonts w:ascii="Arial" w:hAnsi="Arial" w:cs="Arial"/>
                <w:lang w:val="el-GR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lang w:val="el-GR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el-GR"/>
                          </w:rPr>
                        </m:ctrlPr>
                      </m:eqArrPr>
                      <m:e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lang w:val="el-GR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lang w:val="el-GR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lang w:val="el-GR"/>
                              </w:rPr>
                              <m:t>65</m:t>
                            </m:r>
                          </m:sub>
                        </m:sSub>
                        <m:ctrlPr>
                          <w:rPr>
                            <w:rFonts w:ascii="Cambria Math" w:eastAsiaTheme="minorEastAsia" w:hAnsi="Cambria Math" w:cs="Arial"/>
                            <w:lang w:val="el-GR"/>
                          </w:rPr>
                        </m:ctrlPr>
                      </m:e>
                    </m:eqAr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lang w:val="el-GR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lang w:val="el-GR"/>
                          </w:rPr>
                          <m:t>x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134" w:type="dxa"/>
          </w:tcPr>
          <w:p w:rsidR="00606D98" w:rsidRPr="00FE33EA" w:rsidRDefault="00D908AF" w:rsidP="003D3916">
            <w:pPr>
              <w:spacing w:after="120"/>
              <w:ind w:hanging="720"/>
              <w:jc w:val="right"/>
              <w:rPr>
                <w:rFonts w:ascii="Arial" w:hAnsi="Arial" w:cs="Arial"/>
                <w:lang w:val="el-GR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lang w:val="el-GR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el-GR"/>
                          </w:rPr>
                        </m:ctrlPr>
                      </m:eqArrPr>
                      <m:e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lang w:val="el-GR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Arial"/>
                                    <w:lang w:val="el-GR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lang w:val="el-GR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Arial"/>
                                    <w:lang w:val="el-GR"/>
                                  </w:rPr>
                                  <m:t>x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lang w:val="el-GR"/>
                              </w:rPr>
                              <m:t>-N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Arial"/>
                                <w:lang w:val="el-GR"/>
                              </w:rPr>
                              <m:t>65</m:t>
                            </m:r>
                          </m:sub>
                        </m:sSub>
                        <m:ctrlPr>
                          <w:rPr>
                            <w:rFonts w:ascii="Cambria Math" w:eastAsiaTheme="minorEastAsia" w:hAnsi="Cambria Math" w:cs="Arial"/>
                            <w:lang w:val="el-GR"/>
                          </w:rPr>
                        </m:ctrlPr>
                      </m:e>
                    </m:eqAr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lang w:val="el-GR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lang w:val="el-GR"/>
                          </w:rPr>
                          <m:t>x</m:t>
                        </m:r>
                      </m:sub>
                    </m:sSub>
                  </m:den>
                </m:f>
              </m:oMath>
            </m:oMathPara>
          </w:p>
        </w:tc>
      </w:tr>
      <w:tr w:rsidR="00606D98" w:rsidRPr="00FE33EA" w:rsidTr="003D3916">
        <w:tc>
          <w:tcPr>
            <w:tcW w:w="926" w:type="dxa"/>
          </w:tcPr>
          <w:p w:rsidR="00606D98" w:rsidRPr="00FE33EA" w:rsidRDefault="00606D98" w:rsidP="003D3916">
            <w:pPr>
              <w:spacing w:after="120"/>
              <w:ind w:hanging="720"/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7</w:t>
            </w:r>
          </w:p>
        </w:tc>
        <w:tc>
          <w:tcPr>
            <w:tcW w:w="1200" w:type="dxa"/>
          </w:tcPr>
          <w:p w:rsidR="00606D98" w:rsidRPr="00FE33EA" w:rsidRDefault="00606D98" w:rsidP="003D3916">
            <w:pPr>
              <w:spacing w:after="120"/>
              <w:ind w:hanging="720"/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30</w:t>
            </w:r>
          </w:p>
        </w:tc>
        <w:tc>
          <w:tcPr>
            <w:tcW w:w="1134" w:type="dxa"/>
          </w:tcPr>
          <w:p w:rsidR="00606D98" w:rsidRPr="00FE33EA" w:rsidRDefault="00606D98" w:rsidP="003D3916">
            <w:pPr>
              <w:spacing w:after="120"/>
              <w:ind w:hanging="720"/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0,1</w:t>
            </w:r>
          </w:p>
        </w:tc>
        <w:tc>
          <w:tcPr>
            <w:tcW w:w="1134" w:type="dxa"/>
          </w:tcPr>
          <w:p w:rsidR="00606D98" w:rsidRPr="00FE33EA" w:rsidRDefault="00606D98" w:rsidP="003D3916">
            <w:pPr>
              <w:spacing w:after="120"/>
              <w:ind w:hanging="720"/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19</w:t>
            </w:r>
          </w:p>
        </w:tc>
      </w:tr>
      <w:tr w:rsidR="00606D98" w:rsidRPr="00FE33EA" w:rsidTr="003D3916">
        <w:tc>
          <w:tcPr>
            <w:tcW w:w="926" w:type="dxa"/>
          </w:tcPr>
          <w:p w:rsidR="00606D98" w:rsidRPr="00FE33EA" w:rsidRDefault="00606D98" w:rsidP="003D3916">
            <w:pPr>
              <w:spacing w:after="120"/>
              <w:ind w:hanging="720"/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3</w:t>
            </w:r>
          </w:p>
        </w:tc>
        <w:tc>
          <w:tcPr>
            <w:tcW w:w="1200" w:type="dxa"/>
          </w:tcPr>
          <w:p w:rsidR="00606D98" w:rsidRPr="00FE33EA" w:rsidRDefault="00606D98" w:rsidP="003D3916">
            <w:pPr>
              <w:spacing w:after="120"/>
              <w:ind w:hanging="720"/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64</w:t>
            </w:r>
          </w:p>
        </w:tc>
        <w:tc>
          <w:tcPr>
            <w:tcW w:w="1134" w:type="dxa"/>
          </w:tcPr>
          <w:p w:rsidR="00606D98" w:rsidRPr="00FE33EA" w:rsidRDefault="00606D98" w:rsidP="003D3916">
            <w:pPr>
              <w:spacing w:after="120"/>
              <w:ind w:hanging="720"/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0,9</w:t>
            </w:r>
          </w:p>
        </w:tc>
        <w:tc>
          <w:tcPr>
            <w:tcW w:w="1134" w:type="dxa"/>
          </w:tcPr>
          <w:p w:rsidR="00606D98" w:rsidRPr="00FE33EA" w:rsidRDefault="00606D98" w:rsidP="003D3916">
            <w:pPr>
              <w:spacing w:after="120"/>
              <w:ind w:hanging="720"/>
              <w:jc w:val="right"/>
              <w:rPr>
                <w:rFonts w:ascii="Arial" w:eastAsiaTheme="minorEastAsia" w:hAnsi="Arial" w:cs="Arial"/>
                <w:lang w:val="el-GR"/>
              </w:rPr>
            </w:pPr>
            <w:r w:rsidRPr="00FE33EA">
              <w:rPr>
                <w:rFonts w:ascii="Arial" w:eastAsiaTheme="minorEastAsia" w:hAnsi="Arial" w:cs="Arial"/>
                <w:lang w:val="el-GR"/>
              </w:rPr>
              <w:t>1</w:t>
            </w:r>
          </w:p>
        </w:tc>
      </w:tr>
    </w:tbl>
    <w:p w:rsidR="00606D98" w:rsidRPr="00FE33EA" w:rsidRDefault="00606D98" w:rsidP="00606D98">
      <w:pPr>
        <w:pStyle w:val="a7"/>
        <w:spacing w:after="120"/>
        <w:ind w:hanging="720"/>
        <w:jc w:val="both"/>
        <w:rPr>
          <w:rFonts w:ascii="Arial" w:hAnsi="Arial" w:cs="Arial"/>
          <w:lang w:val="el-GR"/>
        </w:rPr>
      </w:pPr>
    </w:p>
    <w:p w:rsidR="00606D98" w:rsidRPr="00FE33EA" w:rsidRDefault="00606D98" w:rsidP="00606D98">
      <w:pPr>
        <w:pStyle w:val="a7"/>
        <w:spacing w:after="120"/>
        <w:ind w:hanging="720"/>
        <w:jc w:val="both"/>
        <w:rPr>
          <w:rFonts w:ascii="Arial" w:hAnsi="Arial" w:cs="Arial"/>
          <w:lang w:val="el-GR"/>
        </w:rPr>
      </w:pPr>
    </w:p>
    <w:p w:rsidR="00606D98" w:rsidRPr="00FE33EA" w:rsidRDefault="00606D98" w:rsidP="00606D98">
      <w:pPr>
        <w:pStyle w:val="a7"/>
        <w:spacing w:after="120"/>
        <w:ind w:left="680"/>
        <w:jc w:val="both"/>
        <w:rPr>
          <w:rFonts w:ascii="Arial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Εάν</w:t>
      </w:r>
      <m:oMath>
        <m:r>
          <m:rPr>
            <m:sty m:val="p"/>
          </m:rPr>
          <w:rPr>
            <w:rFonts w:ascii="Cambria Math" w:hAnsi="Cambria Math" w:cs="Arial"/>
            <w:lang w:val="el-GR"/>
          </w:rPr>
          <m:t xml:space="preserve"> </m:t>
        </m:r>
        <m:sSubSup>
          <m:sSubSupPr>
            <m:ctrlPr>
              <w:rPr>
                <w:rFonts w:ascii="Cambria Math" w:hAnsi="Cambria Math" w:cs="Arial"/>
                <w:lang w:val="el-GR"/>
              </w:rPr>
            </m:ctrlPr>
          </m:sSubSupPr>
          <m:e>
            <m:acc>
              <m:accPr>
                <m:chr m:val="̈"/>
                <m:ctrlPr>
                  <w:rPr>
                    <w:rFonts w:ascii="Cambria Math" w:hAnsi="Cambria Math" w:cs="Arial"/>
                    <w:lang w:val="el-G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el-GR"/>
                  </w:rPr>
                  <m:t xml:space="preserve"> α 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 w:cs="Arial"/>
                    <w:lang w:val="el-G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el-GR"/>
                  </w:rPr>
                  <m:t>65</m:t>
                </m:r>
              </m:e>
              <m:sub/>
            </m:sSub>
            <m:r>
              <m:rPr>
                <m:sty m:val="p"/>
              </m:rPr>
              <w:rPr>
                <w:rFonts w:ascii="Cambria Math" w:hAnsi="Cambria Math" w:cs="Arial"/>
                <w:lang w:val="el-GR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lang w:val="el-GR"/>
              </w:rPr>
              <m:t>(12)</m:t>
            </m:r>
          </m:sup>
        </m:sSubSup>
        <m:r>
          <m:rPr>
            <m:sty m:val="p"/>
          </m:rPr>
          <w:rPr>
            <w:rFonts w:ascii="Cambria Math" w:hAnsi="Cambria Math" w:cs="Arial"/>
            <w:lang w:val="el-GR"/>
          </w:rPr>
          <m:t>=</m:t>
        </m:r>
      </m:oMath>
      <w:r w:rsidRPr="00FE33EA">
        <w:rPr>
          <w:rFonts w:ascii="Arial" w:hAnsi="Arial" w:cs="Arial"/>
          <w:lang w:val="el-GR"/>
        </w:rPr>
        <w:t xml:space="preserve">10 ποιό το κανονικό κόστος </w:t>
      </w:r>
      <w:r w:rsidRPr="00FE33EA">
        <w:rPr>
          <w:rFonts w:ascii="Arial" w:eastAsiaTheme="minorEastAsia" w:hAnsi="Arial" w:cs="Arial"/>
          <w:lang w:val="el-GR"/>
        </w:rPr>
        <w:t xml:space="preserve">τη χρονική στιγμή t=0 </w:t>
      </w:r>
      <w:r w:rsidRPr="00FE33EA">
        <w:rPr>
          <w:rFonts w:ascii="Arial" w:hAnsi="Arial" w:cs="Arial"/>
          <w:lang w:val="el-GR"/>
        </w:rPr>
        <w:t>κάτω από την  aggregate (σωρευτική) μέθοδο κοστολόγησης;</w:t>
      </w:r>
    </w:p>
    <w:p w:rsidR="00606D98" w:rsidRPr="00FE33EA" w:rsidRDefault="00606D98" w:rsidP="00606D98">
      <w:pPr>
        <w:pStyle w:val="a7"/>
        <w:spacing w:after="120"/>
        <w:ind w:hanging="720"/>
        <w:jc w:val="both"/>
        <w:rPr>
          <w:rFonts w:ascii="Arial" w:hAnsi="Arial" w:cs="Arial"/>
          <w:lang w:val="el-GR"/>
        </w:rPr>
      </w:pPr>
    </w:p>
    <w:p w:rsidR="00606D98" w:rsidRPr="00FE33EA" w:rsidRDefault="00606D98" w:rsidP="00771CCD">
      <w:pPr>
        <w:pStyle w:val="a7"/>
        <w:numPr>
          <w:ilvl w:val="1"/>
          <w:numId w:val="35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4.352€</w:t>
      </w:r>
    </w:p>
    <w:p w:rsidR="00606D98" w:rsidRPr="00FE33EA" w:rsidRDefault="00606D98" w:rsidP="00771CCD">
      <w:pPr>
        <w:pStyle w:val="a7"/>
        <w:numPr>
          <w:ilvl w:val="1"/>
          <w:numId w:val="35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2.720€</w:t>
      </w:r>
    </w:p>
    <w:p w:rsidR="00606D98" w:rsidRPr="00FE33EA" w:rsidRDefault="00606D98" w:rsidP="00771CCD">
      <w:pPr>
        <w:pStyle w:val="a7"/>
        <w:numPr>
          <w:ilvl w:val="1"/>
          <w:numId w:val="35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2.500€</w:t>
      </w:r>
    </w:p>
    <w:p w:rsidR="00606D98" w:rsidRPr="00FE33EA" w:rsidRDefault="00606D98" w:rsidP="00771CCD">
      <w:pPr>
        <w:pStyle w:val="a7"/>
        <w:numPr>
          <w:ilvl w:val="1"/>
          <w:numId w:val="35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2.270€</w:t>
      </w:r>
    </w:p>
    <w:p w:rsidR="00606D98" w:rsidRPr="00FE33EA" w:rsidRDefault="00606D98" w:rsidP="00771CCD">
      <w:pPr>
        <w:pStyle w:val="a7"/>
        <w:numPr>
          <w:ilvl w:val="1"/>
          <w:numId w:val="35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2.000€</w:t>
      </w:r>
    </w:p>
    <w:p w:rsidR="00606D98" w:rsidRPr="00FE33EA" w:rsidRDefault="00606D98">
      <w:pPr>
        <w:rPr>
          <w:rFonts w:ascii="Arial" w:eastAsiaTheme="minorEastAsia" w:hAnsi="Arial" w:cs="Arial"/>
          <w:lang w:val="el-GR"/>
        </w:rPr>
      </w:pPr>
    </w:p>
    <w:p w:rsidR="00606D98" w:rsidRPr="00FE33EA" w:rsidRDefault="00606D98" w:rsidP="00606D98">
      <w:pPr>
        <w:pStyle w:val="a7"/>
        <w:numPr>
          <w:ilvl w:val="0"/>
          <w:numId w:val="39"/>
        </w:numPr>
        <w:spacing w:after="120"/>
        <w:ind w:left="1077" w:hanging="720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Ποιο από τα παρακάτω ισχύει για την πρόσθετη υποχρέωση (SL);</w:t>
      </w:r>
    </w:p>
    <w:p w:rsidR="00606D98" w:rsidRPr="00FE33EA" w:rsidRDefault="00606D98" w:rsidP="00606D98">
      <w:pPr>
        <w:pStyle w:val="a7"/>
        <w:spacing w:after="120"/>
        <w:ind w:left="1077"/>
        <w:jc w:val="both"/>
        <w:rPr>
          <w:rFonts w:ascii="Arial" w:eastAsiaTheme="minorEastAsia" w:hAnsi="Arial" w:cs="Arial"/>
          <w:lang w:val="el-GR"/>
        </w:rPr>
      </w:pPr>
    </w:p>
    <w:p w:rsidR="00606D98" w:rsidRPr="00FE33EA" w:rsidRDefault="00606D98" w:rsidP="00606D98">
      <w:pPr>
        <w:pStyle w:val="a7"/>
        <w:numPr>
          <w:ilvl w:val="0"/>
          <w:numId w:val="34"/>
        </w:numPr>
        <w:spacing w:after="120"/>
        <w:ind w:left="1071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 xml:space="preserve">Όταν κατά την έναρξη ενός πλάνου γίνεται αναγνώριση προϋπηρεσίας τότε SL=AL </w:t>
      </w:r>
      <w:r w:rsidRPr="00FE33EA">
        <w:rPr>
          <w:rFonts w:ascii="Arial" w:eastAsiaTheme="minorEastAsia" w:hAnsi="Arial" w:cs="Arial"/>
          <w:vertAlign w:val="superscript"/>
          <w:lang w:val="el-GR"/>
        </w:rPr>
        <w:t xml:space="preserve">prosp </w:t>
      </w:r>
    </w:p>
    <w:p w:rsidR="00606D98" w:rsidRPr="00FE33EA" w:rsidRDefault="00606D98" w:rsidP="00606D98">
      <w:pPr>
        <w:pStyle w:val="a7"/>
        <w:numPr>
          <w:ilvl w:val="0"/>
          <w:numId w:val="34"/>
        </w:numPr>
        <w:spacing w:after="120"/>
        <w:ind w:left="1071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 xml:space="preserve">Όταν σε κάποια στιγμή λειτουργίας ενός πλάνου γίνεται βελτίωση των παροχών τότε     SL ≤ AL </w:t>
      </w:r>
      <w:r w:rsidRPr="00FE33EA">
        <w:rPr>
          <w:rFonts w:ascii="Arial" w:eastAsiaTheme="minorEastAsia" w:hAnsi="Arial" w:cs="Arial"/>
          <w:vertAlign w:val="superscript"/>
          <w:lang w:val="el-GR"/>
        </w:rPr>
        <w:t xml:space="preserve">prosp </w:t>
      </w:r>
    </w:p>
    <w:p w:rsidR="00606D98" w:rsidRPr="00FE33EA" w:rsidRDefault="00606D98" w:rsidP="00606D98">
      <w:pPr>
        <w:pStyle w:val="a7"/>
        <w:numPr>
          <w:ilvl w:val="0"/>
          <w:numId w:val="34"/>
        </w:numPr>
        <w:spacing w:after="120"/>
        <w:ind w:left="1071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Όταν σε κάποια στιγμή λειτουργίας ενός πλάνου αλλάζει η βάση των αναλογιστικών υποθέσεων τότε SL = Loss / (Gain)</w:t>
      </w:r>
    </w:p>
    <w:p w:rsidR="00606D98" w:rsidRPr="00FE33EA" w:rsidRDefault="00606D98" w:rsidP="00606D98">
      <w:pPr>
        <w:spacing w:after="120"/>
        <w:jc w:val="both"/>
        <w:rPr>
          <w:rFonts w:ascii="Arial" w:eastAsiaTheme="minorEastAsia" w:hAnsi="Arial" w:cs="Arial"/>
          <w:lang w:val="el-GR"/>
        </w:rPr>
      </w:pPr>
    </w:p>
    <w:p w:rsidR="00606D98" w:rsidRPr="00FE33EA" w:rsidRDefault="00606D98" w:rsidP="00771CCD">
      <w:pPr>
        <w:pStyle w:val="a7"/>
        <w:numPr>
          <w:ilvl w:val="1"/>
          <w:numId w:val="33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Όλα</w:t>
      </w:r>
    </w:p>
    <w:p w:rsidR="00606D98" w:rsidRPr="00FE33EA" w:rsidRDefault="00606D98" w:rsidP="00771CCD">
      <w:pPr>
        <w:pStyle w:val="a7"/>
        <w:numPr>
          <w:ilvl w:val="1"/>
          <w:numId w:val="33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Μόνο τα Ι και ΙΙ</w:t>
      </w:r>
    </w:p>
    <w:p w:rsidR="00606D98" w:rsidRPr="00FE33EA" w:rsidRDefault="00606D98" w:rsidP="00771CCD">
      <w:pPr>
        <w:pStyle w:val="a7"/>
        <w:numPr>
          <w:ilvl w:val="1"/>
          <w:numId w:val="33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Μόνο τα Ι και ΙΙΙ</w:t>
      </w:r>
    </w:p>
    <w:p w:rsidR="00606D98" w:rsidRPr="00FE33EA" w:rsidRDefault="00606D98" w:rsidP="00771CCD">
      <w:pPr>
        <w:pStyle w:val="a7"/>
        <w:numPr>
          <w:ilvl w:val="1"/>
          <w:numId w:val="33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Μόνο τα ΙΙ  και ΙΙΙ</w:t>
      </w:r>
    </w:p>
    <w:p w:rsidR="00606D98" w:rsidRPr="00FE33EA" w:rsidRDefault="00606D98" w:rsidP="00771CCD">
      <w:pPr>
        <w:pStyle w:val="a7"/>
        <w:numPr>
          <w:ilvl w:val="1"/>
          <w:numId w:val="33"/>
        </w:numPr>
        <w:spacing w:after="120"/>
        <w:ind w:left="357" w:hanging="357"/>
        <w:jc w:val="both"/>
        <w:rPr>
          <w:rFonts w:ascii="Arial" w:eastAsiaTheme="minorEastAsia" w:hAnsi="Arial" w:cs="Arial"/>
          <w:lang w:val="el-GR"/>
        </w:rPr>
      </w:pPr>
      <w:r w:rsidRPr="00FE33EA">
        <w:rPr>
          <w:rFonts w:ascii="Arial" w:eastAsiaTheme="minorEastAsia" w:hAnsi="Arial" w:cs="Arial"/>
          <w:lang w:val="el-GR"/>
        </w:rPr>
        <w:t>Κανένα</w:t>
      </w:r>
    </w:p>
    <w:p w:rsidR="00606D98" w:rsidRPr="00FE33EA" w:rsidRDefault="00606D98" w:rsidP="00893342">
      <w:pPr>
        <w:spacing w:after="120"/>
        <w:rPr>
          <w:rFonts w:ascii="Arial" w:eastAsiaTheme="minorEastAsia" w:hAnsi="Arial" w:cs="Arial"/>
          <w:lang w:val="el-GR"/>
        </w:rPr>
      </w:pPr>
    </w:p>
    <w:sectPr w:rsidR="00606D98" w:rsidRPr="00FE33EA" w:rsidSect="00D908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2E0"/>
    <w:multiLevelType w:val="hybridMultilevel"/>
    <w:tmpl w:val="A2B0E9C8"/>
    <w:lvl w:ilvl="0" w:tplc="576429A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5">
      <w:start w:val="1"/>
      <w:numFmt w:val="upp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7CE4"/>
    <w:multiLevelType w:val="hybridMultilevel"/>
    <w:tmpl w:val="1E8C6C7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3954"/>
    <w:multiLevelType w:val="singleLevel"/>
    <w:tmpl w:val="5804F3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8F207F"/>
    <w:multiLevelType w:val="hybridMultilevel"/>
    <w:tmpl w:val="9DC61B2A"/>
    <w:lvl w:ilvl="0" w:tplc="F14A474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5">
      <w:start w:val="1"/>
      <w:numFmt w:val="upp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B426A"/>
    <w:multiLevelType w:val="hybridMultilevel"/>
    <w:tmpl w:val="556CA23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A085C"/>
    <w:multiLevelType w:val="hybridMultilevel"/>
    <w:tmpl w:val="CD586482"/>
    <w:lvl w:ilvl="0" w:tplc="576429A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5">
      <w:start w:val="1"/>
      <w:numFmt w:val="upp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57170"/>
    <w:multiLevelType w:val="hybridMultilevel"/>
    <w:tmpl w:val="2B68A46C"/>
    <w:lvl w:ilvl="0" w:tplc="78E43566">
      <w:start w:val="1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A194C"/>
    <w:multiLevelType w:val="hybridMultilevel"/>
    <w:tmpl w:val="DCE25B82"/>
    <w:lvl w:ilvl="0" w:tplc="04080015">
      <w:start w:val="1"/>
      <w:numFmt w:val="upperLetter"/>
      <w:lvlText w:val="%1."/>
      <w:lvlJc w:val="left"/>
      <w:pPr>
        <w:ind w:left="1434" w:hanging="360"/>
      </w:pPr>
    </w:lvl>
    <w:lvl w:ilvl="1" w:tplc="04080019" w:tentative="1">
      <w:start w:val="1"/>
      <w:numFmt w:val="lowerLetter"/>
      <w:lvlText w:val="%2."/>
      <w:lvlJc w:val="left"/>
      <w:pPr>
        <w:ind w:left="2154" w:hanging="360"/>
      </w:pPr>
    </w:lvl>
    <w:lvl w:ilvl="2" w:tplc="0408001B" w:tentative="1">
      <w:start w:val="1"/>
      <w:numFmt w:val="lowerRoman"/>
      <w:lvlText w:val="%3."/>
      <w:lvlJc w:val="right"/>
      <w:pPr>
        <w:ind w:left="2874" w:hanging="180"/>
      </w:pPr>
    </w:lvl>
    <w:lvl w:ilvl="3" w:tplc="0408000F" w:tentative="1">
      <w:start w:val="1"/>
      <w:numFmt w:val="decimal"/>
      <w:lvlText w:val="%4."/>
      <w:lvlJc w:val="left"/>
      <w:pPr>
        <w:ind w:left="3594" w:hanging="360"/>
      </w:pPr>
    </w:lvl>
    <w:lvl w:ilvl="4" w:tplc="04080019" w:tentative="1">
      <w:start w:val="1"/>
      <w:numFmt w:val="lowerLetter"/>
      <w:lvlText w:val="%5."/>
      <w:lvlJc w:val="left"/>
      <w:pPr>
        <w:ind w:left="4314" w:hanging="360"/>
      </w:pPr>
    </w:lvl>
    <w:lvl w:ilvl="5" w:tplc="0408001B" w:tentative="1">
      <w:start w:val="1"/>
      <w:numFmt w:val="lowerRoman"/>
      <w:lvlText w:val="%6."/>
      <w:lvlJc w:val="right"/>
      <w:pPr>
        <w:ind w:left="5034" w:hanging="180"/>
      </w:pPr>
    </w:lvl>
    <w:lvl w:ilvl="6" w:tplc="0408000F" w:tentative="1">
      <w:start w:val="1"/>
      <w:numFmt w:val="decimal"/>
      <w:lvlText w:val="%7."/>
      <w:lvlJc w:val="left"/>
      <w:pPr>
        <w:ind w:left="5754" w:hanging="360"/>
      </w:pPr>
    </w:lvl>
    <w:lvl w:ilvl="7" w:tplc="04080019" w:tentative="1">
      <w:start w:val="1"/>
      <w:numFmt w:val="lowerLetter"/>
      <w:lvlText w:val="%8."/>
      <w:lvlJc w:val="left"/>
      <w:pPr>
        <w:ind w:left="6474" w:hanging="360"/>
      </w:pPr>
    </w:lvl>
    <w:lvl w:ilvl="8" w:tplc="0408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0E0C181E"/>
    <w:multiLevelType w:val="hybridMultilevel"/>
    <w:tmpl w:val="A8704C78"/>
    <w:lvl w:ilvl="0" w:tplc="DFC8750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C1384B"/>
    <w:multiLevelType w:val="hybridMultilevel"/>
    <w:tmpl w:val="C2361E5C"/>
    <w:lvl w:ilvl="0" w:tplc="BB1246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3373C"/>
    <w:multiLevelType w:val="hybridMultilevel"/>
    <w:tmpl w:val="02D85F8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102D5"/>
    <w:multiLevelType w:val="hybridMultilevel"/>
    <w:tmpl w:val="AF643D24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602DB"/>
    <w:multiLevelType w:val="hybridMultilevel"/>
    <w:tmpl w:val="7250DF7E"/>
    <w:lvl w:ilvl="0" w:tplc="E4F2B23C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F3398"/>
    <w:multiLevelType w:val="hybridMultilevel"/>
    <w:tmpl w:val="F6909224"/>
    <w:lvl w:ilvl="0" w:tplc="2D1C039E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32D7C"/>
    <w:multiLevelType w:val="hybridMultilevel"/>
    <w:tmpl w:val="724AF3B8"/>
    <w:lvl w:ilvl="0" w:tplc="02CA69B2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01299"/>
    <w:multiLevelType w:val="hybridMultilevel"/>
    <w:tmpl w:val="781E8E12"/>
    <w:lvl w:ilvl="0" w:tplc="12406E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326B37"/>
    <w:multiLevelType w:val="hybridMultilevel"/>
    <w:tmpl w:val="B27CC5D0"/>
    <w:lvl w:ilvl="0" w:tplc="576429A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5">
      <w:start w:val="1"/>
      <w:numFmt w:val="upp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52E83"/>
    <w:multiLevelType w:val="hybridMultilevel"/>
    <w:tmpl w:val="3EB04B7E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AA6D51"/>
    <w:multiLevelType w:val="hybridMultilevel"/>
    <w:tmpl w:val="FD1806D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32918"/>
    <w:multiLevelType w:val="hybridMultilevel"/>
    <w:tmpl w:val="8A10325A"/>
    <w:lvl w:ilvl="0" w:tplc="98765A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36001"/>
    <w:multiLevelType w:val="hybridMultilevel"/>
    <w:tmpl w:val="8CBEE5D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77DCF"/>
    <w:multiLevelType w:val="hybridMultilevel"/>
    <w:tmpl w:val="6D9A4FCC"/>
    <w:lvl w:ilvl="0" w:tplc="1A0471F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5">
      <w:start w:val="1"/>
      <w:numFmt w:val="upp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15CF1"/>
    <w:multiLevelType w:val="hybridMultilevel"/>
    <w:tmpl w:val="447EEF0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D49BC"/>
    <w:multiLevelType w:val="hybridMultilevel"/>
    <w:tmpl w:val="E4E241C8"/>
    <w:lvl w:ilvl="0" w:tplc="003EB4B8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F3F1D"/>
    <w:multiLevelType w:val="hybridMultilevel"/>
    <w:tmpl w:val="E3A491EC"/>
    <w:lvl w:ilvl="0" w:tplc="0408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9C5A2E"/>
    <w:multiLevelType w:val="hybridMultilevel"/>
    <w:tmpl w:val="81946D76"/>
    <w:lvl w:ilvl="0" w:tplc="73B432BA">
      <w:start w:val="1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4BDA41EF"/>
    <w:multiLevelType w:val="hybridMultilevel"/>
    <w:tmpl w:val="5C84BFCC"/>
    <w:lvl w:ilvl="0" w:tplc="0AAEEEB8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10EDC"/>
    <w:multiLevelType w:val="hybridMultilevel"/>
    <w:tmpl w:val="97CE5510"/>
    <w:lvl w:ilvl="0" w:tplc="ADDED1D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871A5"/>
    <w:multiLevelType w:val="hybridMultilevel"/>
    <w:tmpl w:val="2BB2BA20"/>
    <w:lvl w:ilvl="0" w:tplc="441EB8D8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30CAE"/>
    <w:multiLevelType w:val="hybridMultilevel"/>
    <w:tmpl w:val="220C9D62"/>
    <w:lvl w:ilvl="0" w:tplc="98765A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5">
      <w:start w:val="1"/>
      <w:numFmt w:val="upp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0742D"/>
    <w:multiLevelType w:val="hybridMultilevel"/>
    <w:tmpl w:val="02D85F8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40561"/>
    <w:multiLevelType w:val="hybridMultilevel"/>
    <w:tmpl w:val="55003EC8"/>
    <w:lvl w:ilvl="0" w:tplc="57469F1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8B7B9C"/>
    <w:multiLevelType w:val="hybridMultilevel"/>
    <w:tmpl w:val="E41A36A0"/>
    <w:lvl w:ilvl="0" w:tplc="7774FF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D4BCB"/>
    <w:multiLevelType w:val="hybridMultilevel"/>
    <w:tmpl w:val="D84EAB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EEDE6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2471E"/>
    <w:multiLevelType w:val="hybridMultilevel"/>
    <w:tmpl w:val="D360A36A"/>
    <w:lvl w:ilvl="0" w:tplc="12406E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D13ED524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3530D2"/>
    <w:multiLevelType w:val="hybridMultilevel"/>
    <w:tmpl w:val="303A8B44"/>
    <w:lvl w:ilvl="0" w:tplc="0A104754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53D04"/>
    <w:multiLevelType w:val="singleLevel"/>
    <w:tmpl w:val="CB4CB9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7A887913"/>
    <w:multiLevelType w:val="hybridMultilevel"/>
    <w:tmpl w:val="633C933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D1F7B"/>
    <w:multiLevelType w:val="hybridMultilevel"/>
    <w:tmpl w:val="C7744376"/>
    <w:lvl w:ilvl="0" w:tplc="F14A474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5">
      <w:start w:val="1"/>
      <w:numFmt w:val="upp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9595F"/>
    <w:multiLevelType w:val="hybridMultilevel"/>
    <w:tmpl w:val="D704730E"/>
    <w:lvl w:ilvl="0" w:tplc="0FC45584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36"/>
  </w:num>
  <w:num w:numId="4">
    <w:abstractNumId w:val="2"/>
  </w:num>
  <w:num w:numId="5">
    <w:abstractNumId w:val="34"/>
  </w:num>
  <w:num w:numId="6">
    <w:abstractNumId w:val="11"/>
  </w:num>
  <w:num w:numId="7">
    <w:abstractNumId w:val="4"/>
  </w:num>
  <w:num w:numId="8">
    <w:abstractNumId w:val="8"/>
  </w:num>
  <w:num w:numId="9">
    <w:abstractNumId w:val="18"/>
  </w:num>
  <w:num w:numId="10">
    <w:abstractNumId w:val="9"/>
  </w:num>
  <w:num w:numId="11">
    <w:abstractNumId w:val="27"/>
  </w:num>
  <w:num w:numId="12">
    <w:abstractNumId w:val="20"/>
  </w:num>
  <w:num w:numId="13">
    <w:abstractNumId w:val="22"/>
  </w:num>
  <w:num w:numId="14">
    <w:abstractNumId w:val="24"/>
  </w:num>
  <w:num w:numId="15">
    <w:abstractNumId w:val="39"/>
  </w:num>
  <w:num w:numId="16">
    <w:abstractNumId w:val="19"/>
  </w:num>
  <w:num w:numId="17">
    <w:abstractNumId w:val="12"/>
  </w:num>
  <w:num w:numId="18">
    <w:abstractNumId w:val="17"/>
  </w:num>
  <w:num w:numId="19">
    <w:abstractNumId w:val="29"/>
  </w:num>
  <w:num w:numId="20">
    <w:abstractNumId w:val="30"/>
  </w:num>
  <w:num w:numId="21">
    <w:abstractNumId w:val="7"/>
  </w:num>
  <w:num w:numId="22">
    <w:abstractNumId w:val="13"/>
  </w:num>
  <w:num w:numId="23">
    <w:abstractNumId w:val="3"/>
  </w:num>
  <w:num w:numId="24">
    <w:abstractNumId w:val="38"/>
  </w:num>
  <w:num w:numId="25">
    <w:abstractNumId w:val="10"/>
  </w:num>
  <w:num w:numId="26">
    <w:abstractNumId w:val="14"/>
  </w:num>
  <w:num w:numId="27">
    <w:abstractNumId w:val="1"/>
  </w:num>
  <w:num w:numId="28">
    <w:abstractNumId w:val="6"/>
  </w:num>
  <w:num w:numId="29">
    <w:abstractNumId w:val="5"/>
  </w:num>
  <w:num w:numId="30">
    <w:abstractNumId w:val="16"/>
  </w:num>
  <w:num w:numId="31">
    <w:abstractNumId w:val="0"/>
  </w:num>
  <w:num w:numId="32">
    <w:abstractNumId w:val="37"/>
  </w:num>
  <w:num w:numId="33">
    <w:abstractNumId w:val="33"/>
  </w:num>
  <w:num w:numId="34">
    <w:abstractNumId w:val="25"/>
  </w:num>
  <w:num w:numId="35">
    <w:abstractNumId w:val="21"/>
  </w:num>
  <w:num w:numId="36">
    <w:abstractNumId w:val="35"/>
  </w:num>
  <w:num w:numId="37">
    <w:abstractNumId w:val="26"/>
  </w:num>
  <w:num w:numId="38">
    <w:abstractNumId w:val="23"/>
  </w:num>
  <w:num w:numId="39">
    <w:abstractNumId w:val="28"/>
  </w:num>
  <w:num w:numId="40">
    <w:abstractNumId w:val="1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FB5EF9"/>
    <w:rsid w:val="000055E1"/>
    <w:rsid w:val="000066B8"/>
    <w:rsid w:val="00013EB5"/>
    <w:rsid w:val="000276A8"/>
    <w:rsid w:val="00027B15"/>
    <w:rsid w:val="0003308F"/>
    <w:rsid w:val="000343B4"/>
    <w:rsid w:val="00050C7B"/>
    <w:rsid w:val="00056611"/>
    <w:rsid w:val="00057DC1"/>
    <w:rsid w:val="00061474"/>
    <w:rsid w:val="000634C7"/>
    <w:rsid w:val="00067172"/>
    <w:rsid w:val="0007050D"/>
    <w:rsid w:val="0007167B"/>
    <w:rsid w:val="0008170E"/>
    <w:rsid w:val="0008301D"/>
    <w:rsid w:val="000834D5"/>
    <w:rsid w:val="0008429B"/>
    <w:rsid w:val="0009409F"/>
    <w:rsid w:val="000972A2"/>
    <w:rsid w:val="000972A3"/>
    <w:rsid w:val="000A17EA"/>
    <w:rsid w:val="000A54B4"/>
    <w:rsid w:val="000D0E0D"/>
    <w:rsid w:val="000D2E36"/>
    <w:rsid w:val="000D65A3"/>
    <w:rsid w:val="000D7E1D"/>
    <w:rsid w:val="000E12B9"/>
    <w:rsid w:val="000E4145"/>
    <w:rsid w:val="000E6E74"/>
    <w:rsid w:val="000E6E91"/>
    <w:rsid w:val="000F69C4"/>
    <w:rsid w:val="000F7D40"/>
    <w:rsid w:val="001057FF"/>
    <w:rsid w:val="00105AE1"/>
    <w:rsid w:val="00110FBC"/>
    <w:rsid w:val="001210A2"/>
    <w:rsid w:val="001214DB"/>
    <w:rsid w:val="00127839"/>
    <w:rsid w:val="0013616A"/>
    <w:rsid w:val="00151969"/>
    <w:rsid w:val="001545C8"/>
    <w:rsid w:val="00160076"/>
    <w:rsid w:val="00160859"/>
    <w:rsid w:val="001641D0"/>
    <w:rsid w:val="00176F6B"/>
    <w:rsid w:val="001772FE"/>
    <w:rsid w:val="00180CC0"/>
    <w:rsid w:val="00186165"/>
    <w:rsid w:val="00187D16"/>
    <w:rsid w:val="00191B4A"/>
    <w:rsid w:val="001962A3"/>
    <w:rsid w:val="00197A44"/>
    <w:rsid w:val="001A1275"/>
    <w:rsid w:val="001A2596"/>
    <w:rsid w:val="001A5121"/>
    <w:rsid w:val="001A605D"/>
    <w:rsid w:val="001B3259"/>
    <w:rsid w:val="001B4A54"/>
    <w:rsid w:val="001B5708"/>
    <w:rsid w:val="001B59BB"/>
    <w:rsid w:val="001B6098"/>
    <w:rsid w:val="001C67B6"/>
    <w:rsid w:val="001D1797"/>
    <w:rsid w:val="001D18B8"/>
    <w:rsid w:val="001D3D7C"/>
    <w:rsid w:val="001D3E9D"/>
    <w:rsid w:val="001D687B"/>
    <w:rsid w:val="001D6C69"/>
    <w:rsid w:val="001E2211"/>
    <w:rsid w:val="001E3D40"/>
    <w:rsid w:val="001F6479"/>
    <w:rsid w:val="002053CB"/>
    <w:rsid w:val="002132DA"/>
    <w:rsid w:val="00213734"/>
    <w:rsid w:val="00222194"/>
    <w:rsid w:val="0022310C"/>
    <w:rsid w:val="00227289"/>
    <w:rsid w:val="00233512"/>
    <w:rsid w:val="002339BD"/>
    <w:rsid w:val="00233BC4"/>
    <w:rsid w:val="0024228A"/>
    <w:rsid w:val="0025012B"/>
    <w:rsid w:val="00252736"/>
    <w:rsid w:val="00260093"/>
    <w:rsid w:val="002613A7"/>
    <w:rsid w:val="00263C5A"/>
    <w:rsid w:val="002655A3"/>
    <w:rsid w:val="002721CD"/>
    <w:rsid w:val="0027794E"/>
    <w:rsid w:val="0028146A"/>
    <w:rsid w:val="002817C7"/>
    <w:rsid w:val="0028529F"/>
    <w:rsid w:val="00290F63"/>
    <w:rsid w:val="00292BDB"/>
    <w:rsid w:val="002A1494"/>
    <w:rsid w:val="002B21F2"/>
    <w:rsid w:val="002C305B"/>
    <w:rsid w:val="002C32F8"/>
    <w:rsid w:val="002D211F"/>
    <w:rsid w:val="002D3C87"/>
    <w:rsid w:val="002D6EC1"/>
    <w:rsid w:val="002E20A3"/>
    <w:rsid w:val="002E4DCE"/>
    <w:rsid w:val="002E5791"/>
    <w:rsid w:val="002E6831"/>
    <w:rsid w:val="002F056C"/>
    <w:rsid w:val="002F461E"/>
    <w:rsid w:val="002F48F8"/>
    <w:rsid w:val="003022C9"/>
    <w:rsid w:val="003022D1"/>
    <w:rsid w:val="00304905"/>
    <w:rsid w:val="00304C79"/>
    <w:rsid w:val="00321E25"/>
    <w:rsid w:val="003248A1"/>
    <w:rsid w:val="00326498"/>
    <w:rsid w:val="00327593"/>
    <w:rsid w:val="00330113"/>
    <w:rsid w:val="003370A8"/>
    <w:rsid w:val="003457B5"/>
    <w:rsid w:val="00350C9A"/>
    <w:rsid w:val="00355547"/>
    <w:rsid w:val="00361D62"/>
    <w:rsid w:val="003662DE"/>
    <w:rsid w:val="0037169C"/>
    <w:rsid w:val="00372CF2"/>
    <w:rsid w:val="003731F5"/>
    <w:rsid w:val="0037544B"/>
    <w:rsid w:val="00381265"/>
    <w:rsid w:val="003A0AB1"/>
    <w:rsid w:val="003B28A4"/>
    <w:rsid w:val="003B2C4A"/>
    <w:rsid w:val="003B51EA"/>
    <w:rsid w:val="003B607D"/>
    <w:rsid w:val="003B6CB0"/>
    <w:rsid w:val="003C0979"/>
    <w:rsid w:val="003C3E80"/>
    <w:rsid w:val="003C747E"/>
    <w:rsid w:val="003D276B"/>
    <w:rsid w:val="003D55C6"/>
    <w:rsid w:val="003D5AC8"/>
    <w:rsid w:val="003D791E"/>
    <w:rsid w:val="003F0D52"/>
    <w:rsid w:val="003F1A64"/>
    <w:rsid w:val="003F39D1"/>
    <w:rsid w:val="00404500"/>
    <w:rsid w:val="0041127A"/>
    <w:rsid w:val="0042044E"/>
    <w:rsid w:val="0042342C"/>
    <w:rsid w:val="00445C5C"/>
    <w:rsid w:val="00446043"/>
    <w:rsid w:val="00457A55"/>
    <w:rsid w:val="004622B1"/>
    <w:rsid w:val="00463A14"/>
    <w:rsid w:val="004654BB"/>
    <w:rsid w:val="00466FB8"/>
    <w:rsid w:val="00467C89"/>
    <w:rsid w:val="0047026D"/>
    <w:rsid w:val="00472EB5"/>
    <w:rsid w:val="00480078"/>
    <w:rsid w:val="00480357"/>
    <w:rsid w:val="004879F4"/>
    <w:rsid w:val="00492737"/>
    <w:rsid w:val="00493025"/>
    <w:rsid w:val="0049665A"/>
    <w:rsid w:val="004A1ED8"/>
    <w:rsid w:val="004A32E3"/>
    <w:rsid w:val="004B3398"/>
    <w:rsid w:val="004B7183"/>
    <w:rsid w:val="004B7897"/>
    <w:rsid w:val="004C0B08"/>
    <w:rsid w:val="004C32B0"/>
    <w:rsid w:val="004D0459"/>
    <w:rsid w:val="004D05BC"/>
    <w:rsid w:val="004D3B69"/>
    <w:rsid w:val="004D5330"/>
    <w:rsid w:val="004D5E4F"/>
    <w:rsid w:val="004D70B7"/>
    <w:rsid w:val="004D74FE"/>
    <w:rsid w:val="004E17BD"/>
    <w:rsid w:val="004F1A35"/>
    <w:rsid w:val="004F5E0C"/>
    <w:rsid w:val="004F6F53"/>
    <w:rsid w:val="0051000B"/>
    <w:rsid w:val="005139EB"/>
    <w:rsid w:val="00516E4E"/>
    <w:rsid w:val="00521DDD"/>
    <w:rsid w:val="00525068"/>
    <w:rsid w:val="00526A1E"/>
    <w:rsid w:val="005309A8"/>
    <w:rsid w:val="00535C29"/>
    <w:rsid w:val="00535FF5"/>
    <w:rsid w:val="00541D93"/>
    <w:rsid w:val="005476A7"/>
    <w:rsid w:val="0055073F"/>
    <w:rsid w:val="00550B7B"/>
    <w:rsid w:val="00551AC5"/>
    <w:rsid w:val="00551E52"/>
    <w:rsid w:val="00552724"/>
    <w:rsid w:val="0055411B"/>
    <w:rsid w:val="005552DD"/>
    <w:rsid w:val="00556231"/>
    <w:rsid w:val="00561CC7"/>
    <w:rsid w:val="00572C2E"/>
    <w:rsid w:val="00574559"/>
    <w:rsid w:val="00575E7E"/>
    <w:rsid w:val="0058115C"/>
    <w:rsid w:val="005827DD"/>
    <w:rsid w:val="0058487D"/>
    <w:rsid w:val="00587ED2"/>
    <w:rsid w:val="005A0688"/>
    <w:rsid w:val="005A135B"/>
    <w:rsid w:val="005A4028"/>
    <w:rsid w:val="005A5E29"/>
    <w:rsid w:val="005A7944"/>
    <w:rsid w:val="005B18C7"/>
    <w:rsid w:val="005C0DD4"/>
    <w:rsid w:val="005C66BE"/>
    <w:rsid w:val="005D6E0F"/>
    <w:rsid w:val="005E329E"/>
    <w:rsid w:val="005E7E95"/>
    <w:rsid w:val="005F0F7E"/>
    <w:rsid w:val="005F3B55"/>
    <w:rsid w:val="005F6AEC"/>
    <w:rsid w:val="005F70C2"/>
    <w:rsid w:val="0060070F"/>
    <w:rsid w:val="00605CF3"/>
    <w:rsid w:val="00606D98"/>
    <w:rsid w:val="00611938"/>
    <w:rsid w:val="00612662"/>
    <w:rsid w:val="0061714B"/>
    <w:rsid w:val="00623D1B"/>
    <w:rsid w:val="006255D0"/>
    <w:rsid w:val="006262B8"/>
    <w:rsid w:val="00627736"/>
    <w:rsid w:val="00630721"/>
    <w:rsid w:val="00630C0E"/>
    <w:rsid w:val="00632E5F"/>
    <w:rsid w:val="00634320"/>
    <w:rsid w:val="00634B27"/>
    <w:rsid w:val="006360B4"/>
    <w:rsid w:val="00644600"/>
    <w:rsid w:val="0064470D"/>
    <w:rsid w:val="00646A8C"/>
    <w:rsid w:val="00650CBC"/>
    <w:rsid w:val="006514DB"/>
    <w:rsid w:val="00655C65"/>
    <w:rsid w:val="00674659"/>
    <w:rsid w:val="00674989"/>
    <w:rsid w:val="00677486"/>
    <w:rsid w:val="00681E90"/>
    <w:rsid w:val="00682D5A"/>
    <w:rsid w:val="006918F2"/>
    <w:rsid w:val="006A2E71"/>
    <w:rsid w:val="006B27D4"/>
    <w:rsid w:val="006B3A1E"/>
    <w:rsid w:val="006B67E8"/>
    <w:rsid w:val="006C0312"/>
    <w:rsid w:val="006C6A08"/>
    <w:rsid w:val="006D1C6C"/>
    <w:rsid w:val="006E2312"/>
    <w:rsid w:val="006E26D1"/>
    <w:rsid w:val="006E7F55"/>
    <w:rsid w:val="006F2768"/>
    <w:rsid w:val="006F4AA6"/>
    <w:rsid w:val="007045FC"/>
    <w:rsid w:val="00715A5F"/>
    <w:rsid w:val="00716DCB"/>
    <w:rsid w:val="00717812"/>
    <w:rsid w:val="00720BD7"/>
    <w:rsid w:val="00722F2E"/>
    <w:rsid w:val="007264B1"/>
    <w:rsid w:val="00737608"/>
    <w:rsid w:val="0074082D"/>
    <w:rsid w:val="00742616"/>
    <w:rsid w:val="00742CB7"/>
    <w:rsid w:val="007466A2"/>
    <w:rsid w:val="00747638"/>
    <w:rsid w:val="007550A8"/>
    <w:rsid w:val="007552B3"/>
    <w:rsid w:val="00755BED"/>
    <w:rsid w:val="007603E2"/>
    <w:rsid w:val="00763C92"/>
    <w:rsid w:val="00765DD9"/>
    <w:rsid w:val="00771CCD"/>
    <w:rsid w:val="007744FE"/>
    <w:rsid w:val="00790CD9"/>
    <w:rsid w:val="00795206"/>
    <w:rsid w:val="0079545A"/>
    <w:rsid w:val="007A1ECE"/>
    <w:rsid w:val="007A6F28"/>
    <w:rsid w:val="007A7589"/>
    <w:rsid w:val="007B10D9"/>
    <w:rsid w:val="007B1881"/>
    <w:rsid w:val="007B53F2"/>
    <w:rsid w:val="007C322D"/>
    <w:rsid w:val="007C53DB"/>
    <w:rsid w:val="007D0DAE"/>
    <w:rsid w:val="007D4693"/>
    <w:rsid w:val="007D59DC"/>
    <w:rsid w:val="007D5D62"/>
    <w:rsid w:val="007E2268"/>
    <w:rsid w:val="007E3C26"/>
    <w:rsid w:val="007E47AC"/>
    <w:rsid w:val="00801F25"/>
    <w:rsid w:val="00807B72"/>
    <w:rsid w:val="00810977"/>
    <w:rsid w:val="0081578B"/>
    <w:rsid w:val="00822FDD"/>
    <w:rsid w:val="0082448B"/>
    <w:rsid w:val="00826AA9"/>
    <w:rsid w:val="00832E7E"/>
    <w:rsid w:val="008344FA"/>
    <w:rsid w:val="00835447"/>
    <w:rsid w:val="008354E3"/>
    <w:rsid w:val="008378CA"/>
    <w:rsid w:val="008470C5"/>
    <w:rsid w:val="008662D1"/>
    <w:rsid w:val="00870C70"/>
    <w:rsid w:val="00893342"/>
    <w:rsid w:val="008C0093"/>
    <w:rsid w:val="008D41B7"/>
    <w:rsid w:val="008D7410"/>
    <w:rsid w:val="008D7600"/>
    <w:rsid w:val="008E304C"/>
    <w:rsid w:val="008E46F8"/>
    <w:rsid w:val="00900D51"/>
    <w:rsid w:val="00900D5D"/>
    <w:rsid w:val="00906C8F"/>
    <w:rsid w:val="00907F5C"/>
    <w:rsid w:val="009148A8"/>
    <w:rsid w:val="00920B83"/>
    <w:rsid w:val="0092488B"/>
    <w:rsid w:val="00932E59"/>
    <w:rsid w:val="00934900"/>
    <w:rsid w:val="00935D0F"/>
    <w:rsid w:val="00937B58"/>
    <w:rsid w:val="00940A77"/>
    <w:rsid w:val="00950406"/>
    <w:rsid w:val="00951723"/>
    <w:rsid w:val="00953E76"/>
    <w:rsid w:val="00956EBA"/>
    <w:rsid w:val="009572DF"/>
    <w:rsid w:val="00960B84"/>
    <w:rsid w:val="00960BDC"/>
    <w:rsid w:val="0096184B"/>
    <w:rsid w:val="0096442C"/>
    <w:rsid w:val="00965227"/>
    <w:rsid w:val="00965652"/>
    <w:rsid w:val="00965AA9"/>
    <w:rsid w:val="00967310"/>
    <w:rsid w:val="00973D9E"/>
    <w:rsid w:val="00977AA3"/>
    <w:rsid w:val="009812C6"/>
    <w:rsid w:val="00983B65"/>
    <w:rsid w:val="0099118A"/>
    <w:rsid w:val="00993BD3"/>
    <w:rsid w:val="009950DB"/>
    <w:rsid w:val="009A18C1"/>
    <w:rsid w:val="009A3C48"/>
    <w:rsid w:val="009B34FD"/>
    <w:rsid w:val="009B777D"/>
    <w:rsid w:val="009D01B4"/>
    <w:rsid w:val="009D2F3C"/>
    <w:rsid w:val="009D6A41"/>
    <w:rsid w:val="009E4ED1"/>
    <w:rsid w:val="009E6116"/>
    <w:rsid w:val="009E696B"/>
    <w:rsid w:val="00A007FB"/>
    <w:rsid w:val="00A022B8"/>
    <w:rsid w:val="00A03CE0"/>
    <w:rsid w:val="00A04470"/>
    <w:rsid w:val="00A051E2"/>
    <w:rsid w:val="00A05D42"/>
    <w:rsid w:val="00A242CA"/>
    <w:rsid w:val="00A24724"/>
    <w:rsid w:val="00A37235"/>
    <w:rsid w:val="00A41B8D"/>
    <w:rsid w:val="00A43BCE"/>
    <w:rsid w:val="00A50769"/>
    <w:rsid w:val="00A56BD1"/>
    <w:rsid w:val="00A60089"/>
    <w:rsid w:val="00A613E2"/>
    <w:rsid w:val="00A64087"/>
    <w:rsid w:val="00A74623"/>
    <w:rsid w:val="00A86885"/>
    <w:rsid w:val="00A90E5E"/>
    <w:rsid w:val="00A92428"/>
    <w:rsid w:val="00A967AD"/>
    <w:rsid w:val="00AA34EC"/>
    <w:rsid w:val="00AA63A2"/>
    <w:rsid w:val="00AB49AF"/>
    <w:rsid w:val="00AD3CF6"/>
    <w:rsid w:val="00AD7915"/>
    <w:rsid w:val="00AD7E56"/>
    <w:rsid w:val="00AE3359"/>
    <w:rsid w:val="00AE3931"/>
    <w:rsid w:val="00AE3A71"/>
    <w:rsid w:val="00AF0F58"/>
    <w:rsid w:val="00AF40FF"/>
    <w:rsid w:val="00AF54A2"/>
    <w:rsid w:val="00B022E9"/>
    <w:rsid w:val="00B027D6"/>
    <w:rsid w:val="00B17982"/>
    <w:rsid w:val="00B239BD"/>
    <w:rsid w:val="00B24C9D"/>
    <w:rsid w:val="00B344DF"/>
    <w:rsid w:val="00B40FC7"/>
    <w:rsid w:val="00B42E5D"/>
    <w:rsid w:val="00B44050"/>
    <w:rsid w:val="00B50DC2"/>
    <w:rsid w:val="00B53F81"/>
    <w:rsid w:val="00B57EA0"/>
    <w:rsid w:val="00B60694"/>
    <w:rsid w:val="00B72486"/>
    <w:rsid w:val="00B74AF4"/>
    <w:rsid w:val="00B81015"/>
    <w:rsid w:val="00B8154C"/>
    <w:rsid w:val="00B83D3B"/>
    <w:rsid w:val="00B92D65"/>
    <w:rsid w:val="00B96AAF"/>
    <w:rsid w:val="00BA0F3A"/>
    <w:rsid w:val="00BA136B"/>
    <w:rsid w:val="00BA5DEA"/>
    <w:rsid w:val="00BB12D0"/>
    <w:rsid w:val="00BB2190"/>
    <w:rsid w:val="00BB7142"/>
    <w:rsid w:val="00BB7795"/>
    <w:rsid w:val="00BC6172"/>
    <w:rsid w:val="00BD6B99"/>
    <w:rsid w:val="00BD78A2"/>
    <w:rsid w:val="00BF0588"/>
    <w:rsid w:val="00C004D8"/>
    <w:rsid w:val="00C01E9C"/>
    <w:rsid w:val="00C0384F"/>
    <w:rsid w:val="00C2559D"/>
    <w:rsid w:val="00C36277"/>
    <w:rsid w:val="00C40594"/>
    <w:rsid w:val="00C4217D"/>
    <w:rsid w:val="00C42B97"/>
    <w:rsid w:val="00C446D0"/>
    <w:rsid w:val="00C4505A"/>
    <w:rsid w:val="00C45335"/>
    <w:rsid w:val="00C46D7D"/>
    <w:rsid w:val="00C51FAF"/>
    <w:rsid w:val="00C5366C"/>
    <w:rsid w:val="00C55534"/>
    <w:rsid w:val="00C577E1"/>
    <w:rsid w:val="00C607B2"/>
    <w:rsid w:val="00C71BF2"/>
    <w:rsid w:val="00C764BE"/>
    <w:rsid w:val="00C817B4"/>
    <w:rsid w:val="00C84F29"/>
    <w:rsid w:val="00C858F5"/>
    <w:rsid w:val="00CA007B"/>
    <w:rsid w:val="00CA1F1A"/>
    <w:rsid w:val="00CA2282"/>
    <w:rsid w:val="00CA2BE2"/>
    <w:rsid w:val="00CA3F7D"/>
    <w:rsid w:val="00CA4158"/>
    <w:rsid w:val="00CA7479"/>
    <w:rsid w:val="00CA7FBC"/>
    <w:rsid w:val="00CB18D7"/>
    <w:rsid w:val="00CC5E6F"/>
    <w:rsid w:val="00CD69C6"/>
    <w:rsid w:val="00CE23C9"/>
    <w:rsid w:val="00CE6292"/>
    <w:rsid w:val="00CE71E6"/>
    <w:rsid w:val="00CE7AB7"/>
    <w:rsid w:val="00D00246"/>
    <w:rsid w:val="00D020E1"/>
    <w:rsid w:val="00D102B1"/>
    <w:rsid w:val="00D112F0"/>
    <w:rsid w:val="00D16B6A"/>
    <w:rsid w:val="00D16F4E"/>
    <w:rsid w:val="00D20B3B"/>
    <w:rsid w:val="00D21619"/>
    <w:rsid w:val="00D23FFA"/>
    <w:rsid w:val="00D242E2"/>
    <w:rsid w:val="00D257A6"/>
    <w:rsid w:val="00D26CD8"/>
    <w:rsid w:val="00D37204"/>
    <w:rsid w:val="00D41F7D"/>
    <w:rsid w:val="00D445E5"/>
    <w:rsid w:val="00D47DCC"/>
    <w:rsid w:val="00D55196"/>
    <w:rsid w:val="00D66AEA"/>
    <w:rsid w:val="00D75C1C"/>
    <w:rsid w:val="00D76635"/>
    <w:rsid w:val="00D767FE"/>
    <w:rsid w:val="00D77848"/>
    <w:rsid w:val="00D77DD8"/>
    <w:rsid w:val="00D82B53"/>
    <w:rsid w:val="00D83568"/>
    <w:rsid w:val="00D83CE7"/>
    <w:rsid w:val="00D9000B"/>
    <w:rsid w:val="00D908AF"/>
    <w:rsid w:val="00D93A45"/>
    <w:rsid w:val="00D93B9A"/>
    <w:rsid w:val="00D9784A"/>
    <w:rsid w:val="00DA0001"/>
    <w:rsid w:val="00DA5989"/>
    <w:rsid w:val="00DB00F9"/>
    <w:rsid w:val="00DB431A"/>
    <w:rsid w:val="00DC0677"/>
    <w:rsid w:val="00DC1CBB"/>
    <w:rsid w:val="00DD1C91"/>
    <w:rsid w:val="00DD7B0A"/>
    <w:rsid w:val="00DE2113"/>
    <w:rsid w:val="00DE49A7"/>
    <w:rsid w:val="00DE51C9"/>
    <w:rsid w:val="00DF38A3"/>
    <w:rsid w:val="00E17187"/>
    <w:rsid w:val="00E1749E"/>
    <w:rsid w:val="00E2137C"/>
    <w:rsid w:val="00E21930"/>
    <w:rsid w:val="00E24C48"/>
    <w:rsid w:val="00E24E74"/>
    <w:rsid w:val="00E31A01"/>
    <w:rsid w:val="00E349DC"/>
    <w:rsid w:val="00E35918"/>
    <w:rsid w:val="00E36BE7"/>
    <w:rsid w:val="00E4031B"/>
    <w:rsid w:val="00E421E2"/>
    <w:rsid w:val="00E5373E"/>
    <w:rsid w:val="00E55339"/>
    <w:rsid w:val="00E553C5"/>
    <w:rsid w:val="00E56CFE"/>
    <w:rsid w:val="00E66534"/>
    <w:rsid w:val="00E72BD4"/>
    <w:rsid w:val="00E759E2"/>
    <w:rsid w:val="00E75CC1"/>
    <w:rsid w:val="00E765FC"/>
    <w:rsid w:val="00E83527"/>
    <w:rsid w:val="00E85ED5"/>
    <w:rsid w:val="00E9290E"/>
    <w:rsid w:val="00E93C62"/>
    <w:rsid w:val="00E9589F"/>
    <w:rsid w:val="00E97470"/>
    <w:rsid w:val="00EA665D"/>
    <w:rsid w:val="00EC01E4"/>
    <w:rsid w:val="00EC1C06"/>
    <w:rsid w:val="00EC29D5"/>
    <w:rsid w:val="00EC2F3C"/>
    <w:rsid w:val="00EC6275"/>
    <w:rsid w:val="00EC7765"/>
    <w:rsid w:val="00ED2903"/>
    <w:rsid w:val="00ED2AC1"/>
    <w:rsid w:val="00ED6DC8"/>
    <w:rsid w:val="00EE2672"/>
    <w:rsid w:val="00EE36D9"/>
    <w:rsid w:val="00EE752B"/>
    <w:rsid w:val="00EE7820"/>
    <w:rsid w:val="00EE7D59"/>
    <w:rsid w:val="00EF0470"/>
    <w:rsid w:val="00EF1BAC"/>
    <w:rsid w:val="00EF32AF"/>
    <w:rsid w:val="00EF6FD7"/>
    <w:rsid w:val="00F04287"/>
    <w:rsid w:val="00F0744A"/>
    <w:rsid w:val="00F10786"/>
    <w:rsid w:val="00F1158F"/>
    <w:rsid w:val="00F12B5D"/>
    <w:rsid w:val="00F1456B"/>
    <w:rsid w:val="00F26829"/>
    <w:rsid w:val="00F37454"/>
    <w:rsid w:val="00F41D4D"/>
    <w:rsid w:val="00F47748"/>
    <w:rsid w:val="00F52B2F"/>
    <w:rsid w:val="00F54412"/>
    <w:rsid w:val="00F6143B"/>
    <w:rsid w:val="00F640D0"/>
    <w:rsid w:val="00F67AC9"/>
    <w:rsid w:val="00F7080E"/>
    <w:rsid w:val="00F74BE4"/>
    <w:rsid w:val="00F75520"/>
    <w:rsid w:val="00F85C49"/>
    <w:rsid w:val="00F85D3B"/>
    <w:rsid w:val="00F90F72"/>
    <w:rsid w:val="00F9577D"/>
    <w:rsid w:val="00FA282A"/>
    <w:rsid w:val="00FB060F"/>
    <w:rsid w:val="00FB1B98"/>
    <w:rsid w:val="00FB2315"/>
    <w:rsid w:val="00FB2668"/>
    <w:rsid w:val="00FB383F"/>
    <w:rsid w:val="00FB38ED"/>
    <w:rsid w:val="00FB5EF9"/>
    <w:rsid w:val="00FB655C"/>
    <w:rsid w:val="00FC42A7"/>
    <w:rsid w:val="00FC5349"/>
    <w:rsid w:val="00FC7D45"/>
    <w:rsid w:val="00FD4D86"/>
    <w:rsid w:val="00FD5292"/>
    <w:rsid w:val="00FE33EA"/>
    <w:rsid w:val="00FF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1CD"/>
    <w:rPr>
      <w:rFonts w:eastAsia="Times New Roman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552B3"/>
    <w:pPr>
      <w:spacing w:after="120"/>
    </w:pPr>
  </w:style>
  <w:style w:type="table" w:styleId="a4">
    <w:name w:val="Table Grid"/>
    <w:basedOn w:val="a1"/>
    <w:uiPriority w:val="59"/>
    <w:rsid w:val="00932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semiHidden/>
    <w:rsid w:val="00CA7479"/>
  </w:style>
  <w:style w:type="character" w:customStyle="1" w:styleId="Char">
    <w:name w:val="Σώμα κειμένου Char"/>
    <w:link w:val="a3"/>
    <w:rsid w:val="00960B84"/>
    <w:rPr>
      <w:lang w:val="en-GB" w:eastAsia="zh-CN" w:bidi="ar-SA"/>
    </w:rPr>
  </w:style>
  <w:style w:type="paragraph" w:styleId="a6">
    <w:name w:val="Balloon Text"/>
    <w:basedOn w:val="a"/>
    <w:link w:val="Char0"/>
    <w:rsid w:val="005D6E0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5D6E0F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7">
    <w:name w:val="List Paragraph"/>
    <w:basedOn w:val="a"/>
    <w:uiPriority w:val="34"/>
    <w:qFormat/>
    <w:rsid w:val="0095172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102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1CD"/>
    <w:rPr>
      <w:rFonts w:eastAsia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52B3"/>
    <w:pPr>
      <w:spacing w:after="120"/>
    </w:pPr>
  </w:style>
  <w:style w:type="table" w:styleId="TableGrid">
    <w:name w:val="Table Grid"/>
    <w:basedOn w:val="TableNormal"/>
    <w:uiPriority w:val="59"/>
    <w:rsid w:val="00932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semiHidden/>
    <w:rsid w:val="00CA7479"/>
  </w:style>
  <w:style w:type="character" w:customStyle="1" w:styleId="BodyTextChar">
    <w:name w:val="Body Text Char"/>
    <w:link w:val="BodyText"/>
    <w:rsid w:val="00960B84"/>
    <w:rPr>
      <w:lang w:val="en-GB" w:eastAsia="zh-CN" w:bidi="ar-SA"/>
    </w:rPr>
  </w:style>
  <w:style w:type="paragraph" w:styleId="BalloonText">
    <w:name w:val="Balloon Text"/>
    <w:basedOn w:val="Normal"/>
    <w:link w:val="BalloonTextChar"/>
    <w:rsid w:val="005D6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E0F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9517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02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9.bin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32.bin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41" Type="http://schemas.openxmlformats.org/officeDocument/2006/relationships/oleObject" Target="embeddings/oleObject3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oleObject" Target="embeddings/oleObject30.bin"/><Relationship Id="rId45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43" Type="http://schemas.openxmlformats.org/officeDocument/2006/relationships/image" Target="media/image6.wmf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F005E"/>
      </a:dk1>
      <a:lt1>
        <a:sysClr val="window" lastClr="FF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F1A7-2996-4C6C-9B5F-DD7285F1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1834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Maria</dc:creator>
  <cp:lastModifiedBy>m.papamichael</cp:lastModifiedBy>
  <cp:revision>2</cp:revision>
  <cp:lastPrinted>2014-01-27T16:57:00Z</cp:lastPrinted>
  <dcterms:created xsi:type="dcterms:W3CDTF">2015-01-07T11:15:00Z</dcterms:created>
  <dcterms:modified xsi:type="dcterms:W3CDTF">2015-01-07T11:15:00Z</dcterms:modified>
</cp:coreProperties>
</file>