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69" w:rsidRPr="00264269" w:rsidRDefault="00264269" w:rsidP="00264269">
      <w:pPr>
        <w:pStyle w:val="BodyText"/>
        <w:rPr>
          <w:rFonts w:ascii="Arial" w:hAnsi="Arial" w:cs="Arial"/>
          <w:b/>
          <w:sz w:val="24"/>
          <w:lang w:val="el-GR"/>
        </w:rPr>
      </w:pPr>
      <w:r w:rsidRPr="00264269">
        <w:rPr>
          <w:rFonts w:ascii="Arial" w:hAnsi="Arial" w:cs="Arial"/>
          <w:b/>
          <w:sz w:val="24"/>
          <w:lang w:val="el-GR"/>
        </w:rPr>
        <w:t>ΕΛΛΗΝΙΚΗ ΔΗΜΟΚΡΑΤΙΑ</w:t>
      </w:r>
    </w:p>
    <w:p w:rsidR="00264269" w:rsidRPr="00264269" w:rsidRDefault="00264269" w:rsidP="00264269">
      <w:pPr>
        <w:pStyle w:val="BodyText"/>
        <w:rPr>
          <w:rFonts w:ascii="Arial" w:hAnsi="Arial" w:cs="Arial"/>
          <w:b/>
          <w:sz w:val="24"/>
          <w:lang w:val="el-GR"/>
        </w:rPr>
      </w:pPr>
      <w:r w:rsidRPr="00264269">
        <w:rPr>
          <w:rFonts w:ascii="Arial" w:hAnsi="Arial" w:cs="Arial"/>
          <w:b/>
          <w:sz w:val="24"/>
          <w:lang w:val="el-GR"/>
        </w:rPr>
        <w:t>ΥΠΟΥΡΓΕΙΟ ΟΙΚΟΝΟΜΙΚΩΝ</w:t>
      </w:r>
    </w:p>
    <w:p w:rsidR="00264269" w:rsidRPr="00264269" w:rsidRDefault="00264269" w:rsidP="00264269">
      <w:pPr>
        <w:pStyle w:val="BodyText"/>
        <w:rPr>
          <w:rFonts w:ascii="Arial" w:hAnsi="Arial" w:cs="Arial"/>
          <w:b/>
          <w:sz w:val="24"/>
          <w:lang w:val="el-GR"/>
        </w:rPr>
      </w:pPr>
      <w:r w:rsidRPr="00264269">
        <w:rPr>
          <w:rFonts w:ascii="Arial" w:hAnsi="Arial" w:cs="Arial"/>
          <w:b/>
          <w:sz w:val="24"/>
          <w:lang w:val="el-GR"/>
        </w:rPr>
        <w:t>ΕΠΙΤΡΟΠΗ ΑΝΑΛΟΓΙΣΤΙΚΩΝ ΕΞΕΤΑΣΕΩΝ</w:t>
      </w:r>
    </w:p>
    <w:p w:rsidR="00264269" w:rsidRPr="00264269" w:rsidRDefault="00264269" w:rsidP="00264269">
      <w:pPr>
        <w:pStyle w:val="BodyText"/>
        <w:rPr>
          <w:rFonts w:ascii="Arial" w:hAnsi="Arial" w:cs="Arial"/>
          <w:b/>
          <w:sz w:val="24"/>
          <w:lang w:val="el-GR"/>
        </w:rPr>
      </w:pPr>
    </w:p>
    <w:p w:rsidR="00264269" w:rsidRPr="00264269" w:rsidRDefault="00264269" w:rsidP="00264269">
      <w:pPr>
        <w:pStyle w:val="BodyText"/>
        <w:rPr>
          <w:rFonts w:ascii="Arial" w:hAnsi="Arial" w:cs="Arial"/>
          <w:b/>
          <w:sz w:val="24"/>
          <w:lang w:val="el-GR"/>
        </w:rPr>
      </w:pPr>
    </w:p>
    <w:p w:rsidR="00264269" w:rsidRPr="00264269" w:rsidRDefault="00264269" w:rsidP="00264269">
      <w:pPr>
        <w:pStyle w:val="BodyText"/>
        <w:rPr>
          <w:rFonts w:ascii="Arial" w:hAnsi="Arial" w:cs="Arial"/>
          <w:b/>
          <w:sz w:val="24"/>
          <w:lang w:val="el-GR"/>
        </w:rPr>
      </w:pPr>
    </w:p>
    <w:p w:rsidR="00264269" w:rsidRPr="00264269" w:rsidRDefault="00264269" w:rsidP="00264269">
      <w:pPr>
        <w:pStyle w:val="BodyText"/>
        <w:rPr>
          <w:rFonts w:ascii="Arial" w:hAnsi="Arial" w:cs="Arial"/>
          <w:b/>
          <w:sz w:val="24"/>
          <w:lang w:val="el-GR"/>
        </w:rPr>
      </w:pPr>
    </w:p>
    <w:p w:rsidR="00264269" w:rsidRPr="00264269" w:rsidRDefault="00264269" w:rsidP="00264269">
      <w:pPr>
        <w:pStyle w:val="BodyText"/>
        <w:rPr>
          <w:rFonts w:ascii="Arial" w:hAnsi="Arial" w:cs="Arial"/>
          <w:b/>
          <w:sz w:val="24"/>
          <w:lang w:val="el-GR"/>
        </w:rPr>
      </w:pPr>
    </w:p>
    <w:p w:rsidR="00264269" w:rsidRPr="00264269" w:rsidRDefault="00264269" w:rsidP="00264269">
      <w:pPr>
        <w:pStyle w:val="BodyText"/>
        <w:rPr>
          <w:rFonts w:ascii="Arial" w:hAnsi="Arial" w:cs="Arial"/>
          <w:b/>
          <w:sz w:val="24"/>
          <w:lang w:val="el-GR"/>
        </w:rPr>
      </w:pPr>
    </w:p>
    <w:p w:rsidR="00264269" w:rsidRPr="00264269" w:rsidRDefault="00264269" w:rsidP="00264269">
      <w:pPr>
        <w:pStyle w:val="BodyText"/>
        <w:rPr>
          <w:rFonts w:ascii="Arial" w:hAnsi="Arial" w:cs="Arial"/>
          <w:b/>
          <w:sz w:val="24"/>
          <w:lang w:val="el-GR"/>
        </w:rPr>
      </w:pPr>
    </w:p>
    <w:p w:rsidR="00264269" w:rsidRPr="00264269" w:rsidRDefault="00264269" w:rsidP="00264269">
      <w:pPr>
        <w:pStyle w:val="BodyText"/>
        <w:rPr>
          <w:rFonts w:ascii="Arial" w:hAnsi="Arial" w:cs="Arial"/>
          <w:b/>
          <w:sz w:val="24"/>
          <w:lang w:val="el-GR"/>
        </w:rPr>
      </w:pPr>
    </w:p>
    <w:p w:rsidR="00264269" w:rsidRPr="00264269" w:rsidRDefault="00264269" w:rsidP="00264269">
      <w:pPr>
        <w:pStyle w:val="BodyText"/>
        <w:rPr>
          <w:rFonts w:ascii="Arial" w:hAnsi="Arial" w:cs="Arial"/>
          <w:b/>
          <w:sz w:val="24"/>
          <w:lang w:val="el-GR"/>
        </w:rPr>
      </w:pPr>
    </w:p>
    <w:p w:rsidR="00264269" w:rsidRPr="00264269" w:rsidRDefault="00264269" w:rsidP="00264269">
      <w:pPr>
        <w:pStyle w:val="BodyText"/>
        <w:rPr>
          <w:rFonts w:ascii="Arial" w:hAnsi="Arial" w:cs="Arial"/>
          <w:b/>
          <w:sz w:val="24"/>
          <w:lang w:val="el-GR"/>
        </w:rPr>
      </w:pPr>
    </w:p>
    <w:p w:rsidR="00264269" w:rsidRPr="00264269" w:rsidRDefault="00264269" w:rsidP="00264269">
      <w:pPr>
        <w:pStyle w:val="BodyText"/>
        <w:rPr>
          <w:rFonts w:ascii="Arial" w:hAnsi="Arial" w:cs="Arial"/>
          <w:b/>
          <w:sz w:val="24"/>
          <w:lang w:val="el-GR"/>
        </w:rPr>
      </w:pPr>
    </w:p>
    <w:p w:rsidR="00264269" w:rsidRPr="00264269" w:rsidRDefault="00264269" w:rsidP="00264269">
      <w:pPr>
        <w:pStyle w:val="BodyText"/>
        <w:jc w:val="center"/>
        <w:rPr>
          <w:rFonts w:ascii="Arial" w:hAnsi="Arial" w:cs="Arial"/>
          <w:b/>
          <w:sz w:val="24"/>
          <w:lang w:val="el-GR"/>
        </w:rPr>
      </w:pPr>
      <w:r w:rsidRPr="00264269">
        <w:rPr>
          <w:rFonts w:ascii="Arial" w:hAnsi="Arial" w:cs="Arial"/>
          <w:b/>
          <w:sz w:val="24"/>
          <w:lang w:val="el-GR"/>
        </w:rPr>
        <w:t>ΕΞΕΤΑΣΤΙΚΗ ΠΕΡΙΟΔΟΣ</w:t>
      </w:r>
    </w:p>
    <w:p w:rsidR="00264269" w:rsidRPr="0001188B" w:rsidRDefault="00264269" w:rsidP="00264269">
      <w:pPr>
        <w:pStyle w:val="BodyText"/>
        <w:jc w:val="center"/>
        <w:rPr>
          <w:rFonts w:ascii="Arial" w:hAnsi="Arial" w:cs="Arial"/>
          <w:b/>
          <w:sz w:val="24"/>
          <w:lang w:val="en-US"/>
        </w:rPr>
      </w:pPr>
      <w:r w:rsidRPr="00264269">
        <w:rPr>
          <w:rFonts w:ascii="Arial" w:hAnsi="Arial" w:cs="Arial"/>
          <w:b/>
          <w:sz w:val="24"/>
          <w:lang w:val="el-GR"/>
        </w:rPr>
        <w:t>ΙΑΝΟΥΑΡΙΟΥ 201</w:t>
      </w:r>
      <w:r w:rsidR="0001188B">
        <w:rPr>
          <w:rFonts w:ascii="Arial" w:hAnsi="Arial" w:cs="Arial"/>
          <w:b/>
          <w:sz w:val="24"/>
          <w:lang w:val="en-US"/>
        </w:rPr>
        <w:t>3</w:t>
      </w:r>
    </w:p>
    <w:p w:rsidR="00264269" w:rsidRPr="00264269" w:rsidRDefault="00264269" w:rsidP="00264269">
      <w:pPr>
        <w:pStyle w:val="BodyText"/>
        <w:jc w:val="center"/>
        <w:rPr>
          <w:rFonts w:ascii="Arial" w:hAnsi="Arial" w:cs="Arial"/>
          <w:b/>
          <w:sz w:val="24"/>
          <w:lang w:val="el-GR"/>
        </w:rPr>
      </w:pPr>
    </w:p>
    <w:p w:rsidR="00264269" w:rsidRPr="00264269" w:rsidRDefault="00264269" w:rsidP="00264269">
      <w:pPr>
        <w:pStyle w:val="BodyText"/>
        <w:jc w:val="center"/>
        <w:rPr>
          <w:rFonts w:ascii="Arial" w:hAnsi="Arial" w:cs="Arial"/>
          <w:b/>
          <w:sz w:val="24"/>
          <w:lang w:val="el-GR"/>
        </w:rPr>
      </w:pPr>
      <w:r w:rsidRPr="00264269">
        <w:rPr>
          <w:rFonts w:ascii="Arial" w:hAnsi="Arial" w:cs="Arial"/>
          <w:b/>
          <w:sz w:val="24"/>
          <w:lang w:val="el-GR"/>
        </w:rPr>
        <w:t>ΣΥΝΤΑΞΙΟΔΟΤΙΚΑ ΣΧΗΜΑΤΑ ΚΑΙ ΚΟΙΝΩΝΙΚΗ ΑΣΦΑΛΙΣΗ</w:t>
      </w:r>
    </w:p>
    <w:p w:rsidR="00264269" w:rsidRPr="00264269" w:rsidRDefault="0001188B" w:rsidP="00264269">
      <w:pPr>
        <w:pStyle w:val="BodyText"/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11</w:t>
      </w:r>
      <w:r w:rsidR="00264269" w:rsidRPr="00264269">
        <w:rPr>
          <w:rFonts w:ascii="Arial" w:hAnsi="Arial" w:cs="Arial"/>
          <w:b/>
          <w:sz w:val="24"/>
          <w:lang w:val="el-GR"/>
        </w:rPr>
        <w:t xml:space="preserve"> ΦΕΒΡΟΥΑΡΙΟΥ 201</w:t>
      </w:r>
      <w:r>
        <w:rPr>
          <w:rFonts w:ascii="Arial" w:hAnsi="Arial" w:cs="Arial"/>
          <w:b/>
          <w:sz w:val="24"/>
          <w:lang w:val="en-US"/>
        </w:rPr>
        <w:t>3</w:t>
      </w:r>
    </w:p>
    <w:p w:rsidR="00264269" w:rsidRPr="00250F39" w:rsidRDefault="00264269" w:rsidP="00264269">
      <w:pPr>
        <w:pStyle w:val="BodyText"/>
        <w:jc w:val="center"/>
        <w:rPr>
          <w:b/>
          <w:sz w:val="24"/>
          <w:lang w:val="el-GR"/>
        </w:rPr>
      </w:pPr>
    </w:p>
    <w:p w:rsidR="00264269" w:rsidRPr="00250F39" w:rsidRDefault="00264269" w:rsidP="00264269">
      <w:pPr>
        <w:pStyle w:val="BodyText"/>
        <w:jc w:val="center"/>
        <w:rPr>
          <w:b/>
          <w:sz w:val="24"/>
          <w:lang w:val="el-GR"/>
        </w:rPr>
      </w:pPr>
    </w:p>
    <w:p w:rsidR="00264269" w:rsidRPr="00250F39" w:rsidRDefault="00264269" w:rsidP="00264269">
      <w:pPr>
        <w:pStyle w:val="BodyText"/>
        <w:jc w:val="center"/>
        <w:rPr>
          <w:b/>
          <w:sz w:val="24"/>
          <w:lang w:val="el-GR"/>
        </w:rPr>
      </w:pPr>
    </w:p>
    <w:p w:rsidR="00264269" w:rsidRPr="00250F39" w:rsidRDefault="00264269" w:rsidP="00264269">
      <w:pPr>
        <w:pStyle w:val="BodyText"/>
        <w:jc w:val="center"/>
        <w:rPr>
          <w:b/>
          <w:sz w:val="24"/>
          <w:lang w:val="el-GR"/>
        </w:rPr>
      </w:pPr>
    </w:p>
    <w:p w:rsidR="00264269" w:rsidRPr="00250F39" w:rsidRDefault="00264269" w:rsidP="00264269">
      <w:pPr>
        <w:pStyle w:val="BodyText"/>
        <w:jc w:val="center"/>
        <w:rPr>
          <w:b/>
          <w:sz w:val="24"/>
          <w:lang w:val="el-GR"/>
        </w:rPr>
      </w:pPr>
    </w:p>
    <w:p w:rsidR="00264269" w:rsidRPr="00250F39" w:rsidRDefault="00264269" w:rsidP="00264269">
      <w:pPr>
        <w:pStyle w:val="BodyText"/>
        <w:jc w:val="center"/>
        <w:rPr>
          <w:b/>
          <w:sz w:val="24"/>
          <w:lang w:val="el-GR"/>
        </w:rPr>
      </w:pPr>
    </w:p>
    <w:p w:rsidR="00264269" w:rsidRPr="00250F39" w:rsidRDefault="00264269" w:rsidP="00264269">
      <w:pPr>
        <w:pStyle w:val="BodyText"/>
        <w:jc w:val="center"/>
        <w:rPr>
          <w:b/>
          <w:sz w:val="24"/>
          <w:lang w:val="el-GR"/>
        </w:rPr>
      </w:pPr>
    </w:p>
    <w:p w:rsidR="00264269" w:rsidRPr="00250F39" w:rsidRDefault="00264269" w:rsidP="00264269">
      <w:pPr>
        <w:pStyle w:val="BodyText"/>
        <w:jc w:val="center"/>
        <w:rPr>
          <w:b/>
          <w:sz w:val="24"/>
          <w:lang w:val="el-GR"/>
        </w:rPr>
      </w:pPr>
    </w:p>
    <w:p w:rsidR="00264269" w:rsidRPr="00250F39" w:rsidRDefault="00264269" w:rsidP="00264269">
      <w:pPr>
        <w:pStyle w:val="BodyText"/>
        <w:jc w:val="center"/>
        <w:rPr>
          <w:b/>
          <w:sz w:val="24"/>
          <w:lang w:val="el-GR"/>
        </w:rPr>
      </w:pPr>
    </w:p>
    <w:p w:rsidR="00264269" w:rsidRPr="00250F39" w:rsidRDefault="00264269" w:rsidP="00264269">
      <w:pPr>
        <w:pStyle w:val="BodyText"/>
        <w:jc w:val="center"/>
        <w:rPr>
          <w:b/>
          <w:sz w:val="24"/>
          <w:lang w:val="el-GR"/>
        </w:rPr>
      </w:pPr>
    </w:p>
    <w:p w:rsidR="00264269" w:rsidRPr="00250F39" w:rsidRDefault="00264269" w:rsidP="00264269">
      <w:pPr>
        <w:pStyle w:val="BodyText"/>
        <w:jc w:val="center"/>
        <w:rPr>
          <w:b/>
          <w:sz w:val="24"/>
          <w:lang w:val="el-GR"/>
        </w:rPr>
      </w:pPr>
    </w:p>
    <w:p w:rsidR="00264269" w:rsidRPr="00250F39" w:rsidRDefault="00264269" w:rsidP="00264269">
      <w:pPr>
        <w:pStyle w:val="BodyText"/>
        <w:jc w:val="center"/>
        <w:rPr>
          <w:b/>
          <w:sz w:val="24"/>
          <w:lang w:val="el-GR"/>
        </w:rPr>
      </w:pPr>
    </w:p>
    <w:p w:rsidR="00264269" w:rsidRPr="00250F39" w:rsidRDefault="00264269" w:rsidP="00264269">
      <w:pPr>
        <w:pStyle w:val="BodyText"/>
        <w:jc w:val="center"/>
        <w:rPr>
          <w:b/>
          <w:sz w:val="24"/>
          <w:lang w:val="el-GR"/>
        </w:rPr>
      </w:pPr>
    </w:p>
    <w:p w:rsidR="00264269" w:rsidRPr="00250F39" w:rsidRDefault="00264269" w:rsidP="00264269">
      <w:pPr>
        <w:pStyle w:val="BodyText"/>
        <w:jc w:val="center"/>
        <w:rPr>
          <w:b/>
          <w:sz w:val="24"/>
          <w:lang w:val="el-GR"/>
        </w:rPr>
      </w:pPr>
    </w:p>
    <w:p w:rsidR="00264269" w:rsidRPr="00264269" w:rsidRDefault="00264269" w:rsidP="00264269">
      <w:pPr>
        <w:pStyle w:val="BodyText"/>
        <w:jc w:val="center"/>
        <w:rPr>
          <w:rFonts w:ascii="Arial" w:hAnsi="Arial" w:cs="Arial"/>
          <w:b/>
          <w:sz w:val="24"/>
          <w:lang w:val="el-GR"/>
        </w:rPr>
      </w:pPr>
      <w:r w:rsidRPr="00264269">
        <w:rPr>
          <w:rFonts w:ascii="Arial" w:hAnsi="Arial" w:cs="Arial"/>
          <w:b/>
          <w:sz w:val="24"/>
          <w:lang w:val="el-GR"/>
        </w:rPr>
        <w:t>ΑΠΟΓΕΥΜΑΤΙΝΗ ΕΞΕΤΑΣΗ (12:00 – 14:00)</w:t>
      </w:r>
    </w:p>
    <w:p w:rsidR="00264269" w:rsidRPr="0070581B" w:rsidRDefault="00264269" w:rsidP="00264269">
      <w:pPr>
        <w:pStyle w:val="BodyText"/>
        <w:rPr>
          <w:rFonts w:ascii="Arial" w:hAnsi="Arial" w:cs="Arial"/>
          <w:b/>
          <w:lang w:val="el-GR"/>
        </w:rPr>
      </w:pPr>
    </w:p>
    <w:p w:rsidR="00F01A72" w:rsidRPr="00264269" w:rsidRDefault="00F01A72" w:rsidP="00E0551C">
      <w:pPr>
        <w:pStyle w:val="BodyText"/>
        <w:rPr>
          <w:rFonts w:ascii="Arial" w:hAnsi="Arial" w:cs="Arial"/>
          <w:lang w:val="el-GR"/>
        </w:rPr>
      </w:pPr>
      <w:r w:rsidRPr="00E0551C">
        <w:rPr>
          <w:rFonts w:ascii="Arial" w:hAnsi="Arial" w:cs="Arial"/>
          <w:b/>
          <w:lang w:val="el-GR"/>
        </w:rPr>
        <w:lastRenderedPageBreak/>
        <w:t xml:space="preserve">Θέμα 1 </w:t>
      </w:r>
      <w:r w:rsidRPr="00E0551C">
        <w:rPr>
          <w:rFonts w:ascii="Arial" w:hAnsi="Arial" w:cs="Arial"/>
          <w:lang w:val="el-GR"/>
        </w:rPr>
        <w:t>(</w:t>
      </w:r>
      <w:r w:rsidR="00057D77">
        <w:rPr>
          <w:rFonts w:ascii="Arial" w:hAnsi="Arial" w:cs="Arial"/>
          <w:lang w:val="en-US"/>
        </w:rPr>
        <w:t>5</w:t>
      </w:r>
      <w:r w:rsidR="00B459F3" w:rsidRPr="00E0551C">
        <w:rPr>
          <w:rFonts w:ascii="Arial" w:hAnsi="Arial" w:cs="Arial"/>
          <w:lang w:val="el-GR"/>
        </w:rPr>
        <w:t xml:space="preserve"> </w:t>
      </w:r>
      <w:r w:rsidRPr="00E0551C">
        <w:rPr>
          <w:rFonts w:ascii="Arial" w:hAnsi="Arial" w:cs="Arial"/>
          <w:lang w:val="el-GR"/>
        </w:rPr>
        <w:t>βαθμοί)</w:t>
      </w:r>
      <w:bookmarkStart w:id="0" w:name="_GoBack"/>
      <w:bookmarkEnd w:id="0"/>
    </w:p>
    <w:p w:rsidR="00F314ED" w:rsidRPr="00F314ED" w:rsidRDefault="00F314ED" w:rsidP="00F314ED">
      <w:pPr>
        <w:pStyle w:val="BodyText"/>
        <w:numPr>
          <w:ilvl w:val="0"/>
          <w:numId w:val="1"/>
        </w:numPr>
        <w:rPr>
          <w:rFonts w:ascii="Arial" w:hAnsi="Arial" w:cs="Arial"/>
          <w:lang w:val="el-GR"/>
        </w:rPr>
      </w:pPr>
      <w:r w:rsidRPr="00F314ED">
        <w:rPr>
          <w:rFonts w:ascii="Arial" w:hAnsi="Arial" w:cs="Arial"/>
          <w:lang w:val="el-GR"/>
        </w:rPr>
        <w:t xml:space="preserve">(2 βαθμοί) Σε συνταξιοδοτικό σχήμα που εφαρμόζεται η </w:t>
      </w:r>
      <w:r w:rsidRPr="00F314ED">
        <w:rPr>
          <w:rFonts w:ascii="Arial" w:hAnsi="Arial" w:cs="Arial"/>
          <w:lang w:val="en-US"/>
        </w:rPr>
        <w:t xml:space="preserve">Entry Age Normal </w:t>
      </w:r>
      <w:r w:rsidRPr="00F314ED">
        <w:rPr>
          <w:rFonts w:ascii="Arial" w:hAnsi="Arial" w:cs="Arial"/>
          <w:lang w:val="el-GR"/>
        </w:rPr>
        <w:t>να δειχθεί ότι μετά την ηλικία κανονικής συνταξιοδότησης r : (</w:t>
      </w:r>
      <w:proofErr w:type="spellStart"/>
      <w:r w:rsidRPr="00F314ED">
        <w:rPr>
          <w:rFonts w:ascii="Arial" w:hAnsi="Arial" w:cs="Arial"/>
          <w:lang w:val="el-GR"/>
        </w:rPr>
        <w:t>AL</w:t>
      </w:r>
      <w:r w:rsidRPr="00F314ED">
        <w:rPr>
          <w:rFonts w:ascii="Arial" w:hAnsi="Arial" w:cs="Arial"/>
          <w:vertAlign w:val="subscript"/>
          <w:lang w:val="el-GR"/>
        </w:rPr>
        <w:t>x</w:t>
      </w:r>
      <w:proofErr w:type="spellEnd"/>
      <w:r w:rsidRPr="00F314ED">
        <w:rPr>
          <w:rFonts w:ascii="Arial" w:hAnsi="Arial" w:cs="Arial"/>
          <w:lang w:val="el-GR"/>
        </w:rPr>
        <w:t xml:space="preserve"> – </w:t>
      </w:r>
      <w:proofErr w:type="spellStart"/>
      <w:r w:rsidRPr="00F314ED">
        <w:rPr>
          <w:rFonts w:ascii="Arial" w:hAnsi="Arial" w:cs="Arial"/>
          <w:lang w:val="el-GR"/>
        </w:rPr>
        <w:t>B</w:t>
      </w:r>
      <w:r w:rsidRPr="00F314ED">
        <w:rPr>
          <w:rFonts w:ascii="Arial" w:hAnsi="Arial" w:cs="Arial"/>
          <w:vertAlign w:val="subscript"/>
          <w:lang w:val="el-GR"/>
        </w:rPr>
        <w:t>x</w:t>
      </w:r>
      <w:r w:rsidRPr="00F314ED">
        <w:rPr>
          <w:rFonts w:ascii="Arial" w:hAnsi="Arial" w:cs="Arial"/>
          <w:lang w:val="el-GR"/>
        </w:rPr>
        <w:t>)*l</w:t>
      </w:r>
      <w:r w:rsidRPr="00F314ED">
        <w:rPr>
          <w:rFonts w:ascii="Arial" w:hAnsi="Arial" w:cs="Arial"/>
          <w:vertAlign w:val="subscript"/>
          <w:lang w:val="el-GR"/>
        </w:rPr>
        <w:t>x</w:t>
      </w:r>
      <w:proofErr w:type="spellEnd"/>
      <w:r w:rsidRPr="00F314ED">
        <w:rPr>
          <w:rFonts w:ascii="Arial" w:hAnsi="Arial" w:cs="Arial"/>
          <w:lang w:val="el-GR"/>
        </w:rPr>
        <w:t xml:space="preserve"> *(1+</w:t>
      </w:r>
      <w:proofErr w:type="spellStart"/>
      <w:r w:rsidRPr="00F314ED">
        <w:rPr>
          <w:rFonts w:ascii="Arial" w:hAnsi="Arial" w:cs="Arial"/>
          <w:lang w:val="en-US"/>
        </w:rPr>
        <w:t>i</w:t>
      </w:r>
      <w:proofErr w:type="spellEnd"/>
      <w:r w:rsidRPr="00F314ED">
        <w:rPr>
          <w:rFonts w:ascii="Arial" w:hAnsi="Arial" w:cs="Arial"/>
          <w:lang w:val="el-GR"/>
        </w:rPr>
        <w:t>) = AL</w:t>
      </w:r>
      <w:r w:rsidRPr="00F314ED">
        <w:rPr>
          <w:rFonts w:ascii="Arial" w:hAnsi="Arial" w:cs="Arial"/>
          <w:vertAlign w:val="subscript"/>
          <w:lang w:val="el-GR"/>
        </w:rPr>
        <w:t>x+1</w:t>
      </w:r>
      <w:r w:rsidRPr="00F314ED">
        <w:rPr>
          <w:rFonts w:ascii="Arial" w:hAnsi="Arial" w:cs="Arial"/>
          <w:lang w:val="el-GR"/>
        </w:rPr>
        <w:t>*l</w:t>
      </w:r>
      <w:r w:rsidRPr="00F314ED">
        <w:rPr>
          <w:rFonts w:ascii="Arial" w:hAnsi="Arial" w:cs="Arial"/>
          <w:vertAlign w:val="subscript"/>
          <w:lang w:val="el-GR"/>
        </w:rPr>
        <w:t>x+1</w:t>
      </w:r>
      <w:r w:rsidRPr="00F314ED">
        <w:rPr>
          <w:rFonts w:ascii="Arial" w:hAnsi="Arial" w:cs="Arial"/>
          <w:lang w:val="el-GR"/>
        </w:rPr>
        <w:t>,  x</w:t>
      </w:r>
      <w:r w:rsidRPr="00F314ED">
        <w:rPr>
          <w:rFonts w:ascii="Arial" w:hAnsi="Arial" w:cs="Arial"/>
          <w:lang w:val="el-GR"/>
        </w:rPr>
        <w:object w:dxaOrig="18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1.25pt" o:ole="" fillcolor="window">
            <v:imagedata r:id="rId6" o:title=""/>
          </v:shape>
          <o:OLEObject Type="Embed" ProgID="Equation.3" ShapeID="_x0000_i1025" DrawAspect="Content" ObjectID="_1421757294" r:id="rId7"/>
        </w:object>
      </w:r>
      <w:r w:rsidRPr="00F314ED">
        <w:rPr>
          <w:rFonts w:ascii="Arial" w:hAnsi="Arial" w:cs="Arial"/>
          <w:lang w:val="el-GR"/>
        </w:rPr>
        <w:t>r.</w:t>
      </w:r>
    </w:p>
    <w:p w:rsidR="00F314ED" w:rsidRPr="00E0551C" w:rsidRDefault="00057D77" w:rsidP="00F314ED">
      <w:pPr>
        <w:numPr>
          <w:ilvl w:val="0"/>
          <w:numId w:val="10"/>
        </w:num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(</w:t>
      </w:r>
      <w:r>
        <w:rPr>
          <w:rFonts w:ascii="Arial" w:hAnsi="Arial" w:cs="Arial"/>
          <w:lang w:val="en-US"/>
        </w:rPr>
        <w:t>3</w:t>
      </w:r>
      <w:r w:rsidR="00F314ED" w:rsidRPr="00F314ED">
        <w:rPr>
          <w:rFonts w:ascii="Arial" w:hAnsi="Arial" w:cs="Arial"/>
          <w:lang w:val="el-GR"/>
        </w:rPr>
        <w:t xml:space="preserve"> βαθμοί) </w:t>
      </w:r>
      <w:r w:rsidR="00F314ED" w:rsidRPr="00E0551C">
        <w:rPr>
          <w:rFonts w:ascii="Arial" w:hAnsi="Arial" w:cs="Arial"/>
          <w:lang w:val="el-GR"/>
        </w:rPr>
        <w:t xml:space="preserve">Να </w:t>
      </w:r>
      <w:r w:rsidR="00F314ED">
        <w:rPr>
          <w:rFonts w:ascii="Arial" w:hAnsi="Arial" w:cs="Arial"/>
          <w:lang w:val="el-GR"/>
        </w:rPr>
        <w:t>περιγράψετε</w:t>
      </w:r>
      <w:r w:rsidR="00F314ED" w:rsidRPr="00E0551C">
        <w:rPr>
          <w:rFonts w:ascii="Arial" w:hAnsi="Arial" w:cs="Arial"/>
          <w:lang w:val="el-GR"/>
        </w:rPr>
        <w:t xml:space="preserve"> </w:t>
      </w:r>
      <w:r w:rsidR="00F314ED">
        <w:rPr>
          <w:rFonts w:ascii="Arial" w:hAnsi="Arial" w:cs="Arial"/>
          <w:lang w:val="el-GR"/>
        </w:rPr>
        <w:t xml:space="preserve">συνοπτικά την </w:t>
      </w:r>
      <w:r w:rsidR="00F314ED">
        <w:rPr>
          <w:rFonts w:ascii="Arial" w:hAnsi="Arial" w:cs="Arial"/>
          <w:lang w:val="en-US"/>
        </w:rPr>
        <w:t xml:space="preserve">TPL (Termination of Plan Liability) </w:t>
      </w:r>
      <w:r w:rsidR="00F314ED">
        <w:rPr>
          <w:rFonts w:ascii="Arial" w:hAnsi="Arial" w:cs="Arial"/>
          <w:lang w:val="el-GR"/>
        </w:rPr>
        <w:t xml:space="preserve">και τη </w:t>
      </w:r>
      <w:r w:rsidR="00F314ED">
        <w:rPr>
          <w:rFonts w:ascii="Arial" w:hAnsi="Arial" w:cs="Arial"/>
          <w:lang w:val="en-US"/>
        </w:rPr>
        <w:t xml:space="preserve">CPL (Continuation of Plan Liability) </w:t>
      </w:r>
      <w:r w:rsidR="00F314ED">
        <w:rPr>
          <w:rFonts w:ascii="Arial" w:hAnsi="Arial" w:cs="Arial"/>
          <w:lang w:val="el-GR"/>
        </w:rPr>
        <w:t>και τον μαθηματικό τύπο της αναλογιστικής υποχρέωσης σε κάθε μία για τους ενεργούς ασφαλισμένους και τους συνταξιούχους</w:t>
      </w:r>
    </w:p>
    <w:p w:rsidR="00E57D8A" w:rsidRPr="00F314ED" w:rsidRDefault="00E57D8A" w:rsidP="00F314ED">
      <w:pPr>
        <w:pStyle w:val="BodyText"/>
        <w:ind w:left="360"/>
        <w:rPr>
          <w:rFonts w:ascii="Arial" w:hAnsi="Arial" w:cs="Arial"/>
          <w:lang w:val="el-GR"/>
        </w:rPr>
      </w:pPr>
    </w:p>
    <w:p w:rsidR="00E57D8A" w:rsidRPr="00E0551C" w:rsidRDefault="00E57D8A" w:rsidP="00E57D8A">
      <w:pPr>
        <w:pStyle w:val="BodyText"/>
        <w:ind w:left="360"/>
        <w:rPr>
          <w:rFonts w:ascii="Arial" w:hAnsi="Arial" w:cs="Arial"/>
          <w:lang w:val="el-GR"/>
        </w:rPr>
      </w:pPr>
    </w:p>
    <w:p w:rsidR="00264269" w:rsidRPr="00F44521" w:rsidRDefault="00264269" w:rsidP="00264269">
      <w:pPr>
        <w:pStyle w:val="BodyText"/>
        <w:rPr>
          <w:rFonts w:ascii="Arial" w:hAnsi="Arial" w:cs="Arial"/>
          <w:lang w:val="el-GR"/>
        </w:rPr>
      </w:pPr>
      <w:r w:rsidRPr="00E0551C">
        <w:rPr>
          <w:rFonts w:ascii="Arial" w:hAnsi="Arial" w:cs="Arial"/>
          <w:b/>
          <w:lang w:val="el-GR"/>
        </w:rPr>
        <w:t xml:space="preserve">Θέμα </w:t>
      </w:r>
      <w:r>
        <w:rPr>
          <w:rFonts w:ascii="Arial" w:hAnsi="Arial" w:cs="Arial"/>
          <w:b/>
          <w:lang w:val="el-GR"/>
        </w:rPr>
        <w:t>2</w:t>
      </w:r>
      <w:r w:rsidR="00F314ED">
        <w:rPr>
          <w:rFonts w:ascii="Arial" w:hAnsi="Arial" w:cs="Arial"/>
          <w:b/>
          <w:lang w:val="el-GR"/>
        </w:rPr>
        <w:t xml:space="preserve"> </w:t>
      </w:r>
      <w:r w:rsidRPr="00E0551C">
        <w:rPr>
          <w:rFonts w:ascii="Arial" w:hAnsi="Arial" w:cs="Arial"/>
          <w:lang w:val="el-GR"/>
        </w:rPr>
        <w:t>(</w:t>
      </w:r>
      <w:r w:rsidR="00B32CDA">
        <w:rPr>
          <w:rFonts w:ascii="Arial" w:hAnsi="Arial" w:cs="Arial"/>
          <w:lang w:val="en-US"/>
        </w:rPr>
        <w:t>6</w:t>
      </w:r>
      <w:r w:rsidRPr="00E0551C">
        <w:rPr>
          <w:rFonts w:ascii="Arial" w:hAnsi="Arial" w:cs="Arial"/>
          <w:lang w:val="el-GR"/>
        </w:rPr>
        <w:t xml:space="preserve"> βαθμοί)</w:t>
      </w:r>
    </w:p>
    <w:p w:rsidR="00B32CDA" w:rsidRPr="00B24F77" w:rsidRDefault="00B32CDA" w:rsidP="00B32CDA">
      <w:pPr>
        <w:pStyle w:val="BodyText"/>
        <w:rPr>
          <w:rFonts w:ascii="Arial" w:hAnsi="Arial" w:cs="Arial"/>
          <w:lang w:val="el-GR"/>
        </w:rPr>
      </w:pPr>
      <w:r w:rsidRPr="00B24F77">
        <w:rPr>
          <w:rFonts w:ascii="Arial" w:hAnsi="Arial" w:cs="Arial"/>
          <w:lang w:val="el-GR"/>
        </w:rPr>
        <w:t xml:space="preserve">Συνταξιοδοτικό πλάνο με έναρξη 1/1/2005 παρέχει στην ηλικία κανονικής συνταξιοδότησης των 65 ετών ετήσια σύνταξη ίση προς το 75% του μέσου όρου των τριών τελευταίων μισθών πριν την αποχώρηση από την ενεργό υπηρεσία. </w:t>
      </w:r>
    </w:p>
    <w:p w:rsidR="00B32CDA" w:rsidRPr="00B24F77" w:rsidRDefault="00B32CDA" w:rsidP="00B32CDA">
      <w:pPr>
        <w:pStyle w:val="BodyText"/>
        <w:rPr>
          <w:rFonts w:ascii="Arial" w:hAnsi="Arial" w:cs="Arial"/>
          <w:lang w:val="el-GR"/>
        </w:rPr>
      </w:pPr>
      <w:r w:rsidRPr="00B24F77">
        <w:rPr>
          <w:rFonts w:ascii="Arial" w:hAnsi="Arial" w:cs="Arial"/>
          <w:lang w:val="el-GR"/>
        </w:rPr>
        <w:t>Στο πλάνο εφαρμόζεται η μέθοδος του ατομικού ασφαλίστρου (</w:t>
      </w:r>
      <w:r w:rsidRPr="00B24F77">
        <w:rPr>
          <w:rFonts w:ascii="Arial" w:hAnsi="Arial" w:cs="Arial"/>
          <w:lang w:val="en-US"/>
        </w:rPr>
        <w:t>Individual</w:t>
      </w:r>
      <w:r w:rsidRPr="00B24F77">
        <w:rPr>
          <w:rFonts w:ascii="Arial" w:hAnsi="Arial" w:cs="Arial"/>
          <w:lang w:val="el-GR"/>
        </w:rPr>
        <w:t xml:space="preserve"> </w:t>
      </w:r>
      <w:r w:rsidRPr="00B24F77">
        <w:rPr>
          <w:rFonts w:ascii="Arial" w:hAnsi="Arial" w:cs="Arial"/>
          <w:lang w:val="en-US"/>
        </w:rPr>
        <w:t>Level</w:t>
      </w:r>
      <w:r w:rsidRPr="00B24F77">
        <w:rPr>
          <w:rFonts w:ascii="Arial" w:hAnsi="Arial" w:cs="Arial"/>
          <w:lang w:val="el-GR"/>
        </w:rPr>
        <w:t xml:space="preserve"> </w:t>
      </w:r>
      <w:r w:rsidRPr="00B24F77">
        <w:rPr>
          <w:rFonts w:ascii="Arial" w:hAnsi="Arial" w:cs="Arial"/>
          <w:lang w:val="en-US"/>
        </w:rPr>
        <w:t>Premium</w:t>
      </w:r>
      <w:r w:rsidRPr="00B24F77">
        <w:rPr>
          <w:rFonts w:ascii="Arial" w:hAnsi="Arial" w:cs="Arial"/>
          <w:lang w:val="el-GR"/>
        </w:rPr>
        <w:t xml:space="preserve">), το επιτόκιο ισούται προς 8%, η ετήσια αύξηση αποδοχών προς 4%, </w:t>
      </w:r>
      <w:r w:rsidRPr="00B24F77">
        <w:rPr>
          <w:rFonts w:ascii="Arial" w:hAnsi="Arial" w:cs="Arial"/>
          <w:position w:val="-6"/>
          <w:lang w:val="el-GR"/>
        </w:rPr>
        <w:object w:dxaOrig="460" w:dyaOrig="480">
          <v:shape id="_x0000_i1026" type="#_x0000_t75" style="width:23.25pt;height:24pt" o:ole="">
            <v:imagedata r:id="rId8" o:title=""/>
          </v:shape>
          <o:OLEObject Type="Embed" ProgID="Equation.3" ShapeID="_x0000_i1026" DrawAspect="Content" ObjectID="_1421757295" r:id="rId9"/>
        </w:object>
      </w:r>
      <w:r w:rsidRPr="00B24F77">
        <w:rPr>
          <w:rFonts w:ascii="Arial" w:hAnsi="Arial" w:cs="Arial"/>
          <w:lang w:val="el-GR"/>
        </w:rPr>
        <w:t xml:space="preserve">=8,5 και αίτιο εξόδου μέχρι τη συνταξιοδότηση δεν υπάρχει.  </w:t>
      </w:r>
    </w:p>
    <w:p w:rsidR="00B32CDA" w:rsidRPr="00B24F77" w:rsidRDefault="00B32CDA" w:rsidP="00B32CDA">
      <w:pPr>
        <w:pStyle w:val="BodyText"/>
        <w:rPr>
          <w:rFonts w:ascii="Arial" w:hAnsi="Arial" w:cs="Arial"/>
          <w:lang w:val="el-GR"/>
        </w:rPr>
      </w:pPr>
      <w:r w:rsidRPr="00B24F77">
        <w:rPr>
          <w:rFonts w:ascii="Arial" w:hAnsi="Arial" w:cs="Arial"/>
          <w:lang w:val="el-GR"/>
        </w:rPr>
        <w:t xml:space="preserve">Ο ασφαλισμένος του πλάνου με ημερομηνία γέννησης 1/1/1963 και ο οποίος την  1/1/2006 είναι ενεργός έχει ως ετήσιες αποδοχές το 2005 €43.500 και το 2006 €46.000. </w:t>
      </w:r>
    </w:p>
    <w:p w:rsidR="00B32CDA" w:rsidRPr="00B24F77" w:rsidRDefault="00B32CDA" w:rsidP="00B32CDA">
      <w:pPr>
        <w:pStyle w:val="BodyText"/>
        <w:rPr>
          <w:rFonts w:ascii="Arial" w:hAnsi="Arial" w:cs="Arial"/>
          <w:lang w:val="el-GR"/>
        </w:rPr>
      </w:pPr>
      <w:r w:rsidRPr="00B24F77">
        <w:rPr>
          <w:rFonts w:ascii="Arial" w:hAnsi="Arial" w:cs="Arial"/>
          <w:lang w:val="el-GR"/>
        </w:rPr>
        <w:t>Ποια η αναλογιστική υποχρέωση γι' αυτόν (</w:t>
      </w:r>
      <w:r w:rsidRPr="00B24F77">
        <w:rPr>
          <w:rFonts w:ascii="Arial" w:hAnsi="Arial" w:cs="Arial"/>
          <w:lang w:val="en-US"/>
        </w:rPr>
        <w:t>AL</w:t>
      </w:r>
      <w:r w:rsidRPr="00B24F77">
        <w:rPr>
          <w:rFonts w:ascii="Arial" w:hAnsi="Arial" w:cs="Arial"/>
          <w:lang w:val="el-GR"/>
        </w:rPr>
        <w:t>) γι’ αυτόν την 1/1/200</w:t>
      </w:r>
      <w:r w:rsidRPr="00B24F77">
        <w:rPr>
          <w:rFonts w:ascii="Arial" w:hAnsi="Arial" w:cs="Arial"/>
          <w:lang w:val="en-US"/>
        </w:rPr>
        <w:t>8</w:t>
      </w:r>
      <w:r w:rsidRPr="00B24F77">
        <w:rPr>
          <w:rFonts w:ascii="Arial" w:hAnsi="Arial" w:cs="Arial"/>
          <w:lang w:val="el-GR"/>
        </w:rPr>
        <w:t xml:space="preserve">.  </w:t>
      </w:r>
    </w:p>
    <w:p w:rsidR="00E0551C" w:rsidRPr="00B24F77" w:rsidRDefault="00E0551C" w:rsidP="00E0551C">
      <w:pPr>
        <w:pStyle w:val="BodyText"/>
        <w:ind w:left="360"/>
        <w:rPr>
          <w:rFonts w:ascii="Arial" w:hAnsi="Arial" w:cs="Arial"/>
          <w:lang w:val="el-GR"/>
        </w:rPr>
      </w:pPr>
    </w:p>
    <w:p w:rsidR="00DE474E" w:rsidRPr="00E0551C" w:rsidRDefault="00DE474E" w:rsidP="00E0551C">
      <w:pPr>
        <w:pStyle w:val="BodyText"/>
        <w:rPr>
          <w:rFonts w:ascii="Arial" w:hAnsi="Arial" w:cs="Arial"/>
          <w:lang w:val="el-GR"/>
        </w:rPr>
      </w:pPr>
      <w:r w:rsidRPr="00E0551C">
        <w:rPr>
          <w:rFonts w:ascii="Arial" w:hAnsi="Arial" w:cs="Arial"/>
          <w:b/>
          <w:lang w:val="el-GR"/>
        </w:rPr>
        <w:t xml:space="preserve">Θέμα </w:t>
      </w:r>
      <w:r w:rsidR="00264269">
        <w:rPr>
          <w:rFonts w:ascii="Arial" w:hAnsi="Arial" w:cs="Arial"/>
          <w:b/>
          <w:lang w:val="el-GR"/>
        </w:rPr>
        <w:t>3</w:t>
      </w:r>
      <w:r w:rsidRPr="00E0551C">
        <w:rPr>
          <w:rFonts w:ascii="Arial" w:hAnsi="Arial" w:cs="Arial"/>
          <w:b/>
          <w:lang w:val="el-GR"/>
        </w:rPr>
        <w:t xml:space="preserve"> </w:t>
      </w:r>
      <w:r w:rsidRPr="00E0551C">
        <w:rPr>
          <w:rFonts w:ascii="Arial" w:hAnsi="Arial" w:cs="Arial"/>
          <w:lang w:val="el-GR"/>
        </w:rPr>
        <w:t>(</w:t>
      </w:r>
      <w:r w:rsidR="00582A18">
        <w:rPr>
          <w:rFonts w:ascii="Arial" w:hAnsi="Arial" w:cs="Arial"/>
          <w:lang w:val="el-GR"/>
        </w:rPr>
        <w:t>6</w:t>
      </w:r>
      <w:r w:rsidR="0012498E" w:rsidRPr="0012498E">
        <w:rPr>
          <w:rFonts w:ascii="Arial" w:hAnsi="Arial" w:cs="Arial"/>
          <w:lang w:val="el-GR"/>
        </w:rPr>
        <w:t xml:space="preserve"> </w:t>
      </w:r>
      <w:r w:rsidRPr="00E0551C">
        <w:rPr>
          <w:rFonts w:ascii="Arial" w:hAnsi="Arial" w:cs="Arial"/>
          <w:lang w:val="el-GR"/>
        </w:rPr>
        <w:t>βαθμοί)</w:t>
      </w:r>
    </w:p>
    <w:p w:rsidR="00213064" w:rsidRDefault="0012498E" w:rsidP="00E0551C">
      <w:pPr>
        <w:pStyle w:val="BodyText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</w:t>
      </w:r>
      <w:r w:rsidR="00E52EC5">
        <w:rPr>
          <w:rFonts w:ascii="Arial" w:hAnsi="Arial" w:cs="Arial"/>
          <w:lang w:val="el-GR"/>
        </w:rPr>
        <w:t xml:space="preserve">Συνταξιοδοτικό σχήμα με έναρξη 1/1/2006 παρέχει στην κανονική συνταξιοδότηση στα 65  €20 μηνιαίως για κάθε χρόνο υπηρεσίας. Το επιτόκιο είναι 7% και αίτιο εξόδου δεν υπάρχει. </w:t>
      </w:r>
    </w:p>
    <w:p w:rsidR="00E52EC5" w:rsidRDefault="00E52EC5" w:rsidP="00E0551C">
      <w:pPr>
        <w:pStyle w:val="BodyText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Τα δεδομένα των ασφαλισμένων δίδονται από τον παρακάτω πίνακα</w:t>
      </w: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1172"/>
        <w:gridCol w:w="1946"/>
        <w:gridCol w:w="1985"/>
      </w:tblGrid>
      <w:tr w:rsidR="00E52EC5" w:rsidTr="00E52EC5">
        <w:tc>
          <w:tcPr>
            <w:tcW w:w="1172" w:type="dxa"/>
          </w:tcPr>
          <w:p w:rsidR="00E52EC5" w:rsidRDefault="00E52EC5" w:rsidP="00E52EC5">
            <w:pPr>
              <w:pStyle w:val="BodyText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946" w:type="dxa"/>
          </w:tcPr>
          <w:p w:rsidR="00E52EC5" w:rsidRDefault="00E52EC5" w:rsidP="00E52EC5">
            <w:pPr>
              <w:pStyle w:val="BodyText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Τρέχουσα ηλικία</w:t>
            </w:r>
          </w:p>
        </w:tc>
        <w:tc>
          <w:tcPr>
            <w:tcW w:w="1985" w:type="dxa"/>
          </w:tcPr>
          <w:p w:rsidR="00E52EC5" w:rsidRDefault="00E52EC5" w:rsidP="00E52EC5">
            <w:pPr>
              <w:pStyle w:val="BodyText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Ηλικία πρόσληψης</w:t>
            </w:r>
          </w:p>
        </w:tc>
      </w:tr>
      <w:tr w:rsidR="00E52EC5" w:rsidTr="00E52EC5">
        <w:tc>
          <w:tcPr>
            <w:tcW w:w="1172" w:type="dxa"/>
          </w:tcPr>
          <w:p w:rsidR="00E52EC5" w:rsidRDefault="00E52EC5" w:rsidP="00E52EC5">
            <w:pPr>
              <w:pStyle w:val="BodyText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</w:t>
            </w:r>
          </w:p>
        </w:tc>
        <w:tc>
          <w:tcPr>
            <w:tcW w:w="1946" w:type="dxa"/>
          </w:tcPr>
          <w:p w:rsidR="00E52EC5" w:rsidRDefault="00E52EC5" w:rsidP="00E52EC5">
            <w:pPr>
              <w:pStyle w:val="BodyText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30</w:t>
            </w:r>
          </w:p>
        </w:tc>
        <w:tc>
          <w:tcPr>
            <w:tcW w:w="1985" w:type="dxa"/>
          </w:tcPr>
          <w:p w:rsidR="00E52EC5" w:rsidRDefault="00E52EC5" w:rsidP="00E52EC5">
            <w:pPr>
              <w:pStyle w:val="BodyText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30</w:t>
            </w:r>
          </w:p>
        </w:tc>
      </w:tr>
      <w:tr w:rsidR="00E52EC5" w:rsidTr="00E52EC5">
        <w:tc>
          <w:tcPr>
            <w:tcW w:w="1172" w:type="dxa"/>
          </w:tcPr>
          <w:p w:rsidR="00E52EC5" w:rsidRDefault="00E52EC5" w:rsidP="00E52EC5">
            <w:pPr>
              <w:pStyle w:val="BodyText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Β</w:t>
            </w:r>
          </w:p>
        </w:tc>
        <w:tc>
          <w:tcPr>
            <w:tcW w:w="1946" w:type="dxa"/>
          </w:tcPr>
          <w:p w:rsidR="00E52EC5" w:rsidRDefault="00E52EC5" w:rsidP="00E52EC5">
            <w:pPr>
              <w:pStyle w:val="BodyText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50</w:t>
            </w:r>
          </w:p>
        </w:tc>
        <w:tc>
          <w:tcPr>
            <w:tcW w:w="1985" w:type="dxa"/>
          </w:tcPr>
          <w:p w:rsidR="00E52EC5" w:rsidRDefault="00E52EC5" w:rsidP="00E52EC5">
            <w:pPr>
              <w:pStyle w:val="BodyText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50</w:t>
            </w:r>
          </w:p>
        </w:tc>
      </w:tr>
      <w:tr w:rsidR="00E52EC5" w:rsidTr="00E52EC5">
        <w:tc>
          <w:tcPr>
            <w:tcW w:w="1172" w:type="dxa"/>
          </w:tcPr>
          <w:p w:rsidR="00E52EC5" w:rsidRDefault="00E52EC5" w:rsidP="00E52EC5">
            <w:pPr>
              <w:pStyle w:val="BodyText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Γ</w:t>
            </w:r>
          </w:p>
        </w:tc>
        <w:tc>
          <w:tcPr>
            <w:tcW w:w="1946" w:type="dxa"/>
          </w:tcPr>
          <w:p w:rsidR="00E52EC5" w:rsidRDefault="00E52EC5" w:rsidP="00E52EC5">
            <w:pPr>
              <w:pStyle w:val="BodyText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55</w:t>
            </w:r>
          </w:p>
        </w:tc>
        <w:tc>
          <w:tcPr>
            <w:tcW w:w="1985" w:type="dxa"/>
          </w:tcPr>
          <w:p w:rsidR="00E52EC5" w:rsidRDefault="00E52EC5" w:rsidP="00E52EC5">
            <w:pPr>
              <w:pStyle w:val="BodyText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55</w:t>
            </w:r>
          </w:p>
        </w:tc>
      </w:tr>
    </w:tbl>
    <w:p w:rsidR="00E52EC5" w:rsidRPr="0012498E" w:rsidRDefault="00E52EC5" w:rsidP="00E0551C">
      <w:pPr>
        <w:pStyle w:val="BodyText"/>
        <w:rPr>
          <w:rFonts w:ascii="Arial" w:hAnsi="Arial" w:cs="Arial"/>
          <w:lang w:val="el-GR"/>
        </w:rPr>
      </w:pPr>
    </w:p>
    <w:p w:rsidR="00213064" w:rsidRDefault="00E52EC5" w:rsidP="00E0551C">
      <w:pPr>
        <w:pStyle w:val="BodyText"/>
        <w:rPr>
          <w:rFonts w:ascii="Arial" w:hAnsi="Arial" w:cs="Arial"/>
          <w:lang w:val="el-GR"/>
        </w:rPr>
      </w:pPr>
      <w:r w:rsidRPr="00E52EC5">
        <w:rPr>
          <w:rFonts w:ascii="Arial" w:hAnsi="Arial" w:cs="Arial"/>
          <w:lang w:val="el-GR"/>
        </w:rPr>
        <w:t>Οι εισφο</w:t>
      </w:r>
      <w:r>
        <w:rPr>
          <w:rFonts w:ascii="Arial" w:hAnsi="Arial" w:cs="Arial"/>
          <w:lang w:val="el-GR"/>
        </w:rPr>
        <w:t xml:space="preserve">ρές στα έτη 2006 και 2007 πληρώνονται στις 31/12 και είναι ίσες προς το </w:t>
      </w:r>
      <w:r w:rsidRPr="00E52EC5">
        <w:rPr>
          <w:rFonts w:ascii="Arial" w:hAnsi="Arial" w:cs="Arial"/>
          <w:lang w:val="el-GR"/>
        </w:rPr>
        <w:t xml:space="preserve"> Κανονικό </w:t>
      </w:r>
      <w:r>
        <w:rPr>
          <w:rFonts w:ascii="Arial" w:hAnsi="Arial" w:cs="Arial"/>
          <w:lang w:val="el-GR"/>
        </w:rPr>
        <w:t>κόστος. Και στα δύο έτη επαληθεύονται οι αναλογιστικές υποθέσεις εκτός από την απόδοση επενδύσεων το 2007 η οποία ανέρχεται στο 14%</w:t>
      </w:r>
      <w:r w:rsidR="00057D77">
        <w:rPr>
          <w:rFonts w:ascii="Arial" w:hAnsi="Arial" w:cs="Arial"/>
          <w:lang w:val="el-GR"/>
        </w:rPr>
        <w:t xml:space="preserve">. </w:t>
      </w:r>
    </w:p>
    <w:p w:rsidR="00057D77" w:rsidRDefault="00057D77" w:rsidP="00E0551C">
      <w:pPr>
        <w:pStyle w:val="BodyText"/>
        <w:rPr>
          <w:rFonts w:ascii="Arial" w:hAnsi="Arial" w:cs="Arial"/>
          <w:lang w:val="en-US"/>
        </w:rPr>
      </w:pPr>
      <w:r>
        <w:rPr>
          <w:rFonts w:ascii="Arial" w:hAnsi="Arial" w:cs="Arial"/>
          <w:lang w:val="el-GR"/>
        </w:rPr>
        <w:t>Να επιβεβαιώσετε ή να απορρίψετε κάθε ένα από τα παρακάτω επιχειρήματα που αναφέρονται στην Αθροιστική μέθοδο κοστολόγησης (</w:t>
      </w:r>
      <w:r>
        <w:rPr>
          <w:rFonts w:ascii="Arial" w:hAnsi="Arial" w:cs="Arial"/>
          <w:lang w:val="en-US"/>
        </w:rPr>
        <w:t xml:space="preserve">Aggregate) </w:t>
      </w:r>
      <w:r>
        <w:rPr>
          <w:rFonts w:ascii="Arial" w:hAnsi="Arial" w:cs="Arial"/>
          <w:lang w:val="el-GR"/>
        </w:rPr>
        <w:t xml:space="preserve">και στην </w:t>
      </w:r>
      <w:r>
        <w:rPr>
          <w:rFonts w:ascii="Arial" w:hAnsi="Arial" w:cs="Arial"/>
          <w:lang w:val="en-US"/>
        </w:rPr>
        <w:t>Entry Age Normal</w:t>
      </w:r>
    </w:p>
    <w:p w:rsidR="00057D77" w:rsidRDefault="00057D77" w:rsidP="00057D77">
      <w:pPr>
        <w:pStyle w:val="BodyText"/>
        <w:numPr>
          <w:ilvl w:val="0"/>
          <w:numId w:val="1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l-GR"/>
        </w:rPr>
        <w:t xml:space="preserve">Το κανονικό κόστος το 2006 κάτω από την </w:t>
      </w:r>
      <w:r>
        <w:rPr>
          <w:rFonts w:ascii="Arial" w:hAnsi="Arial" w:cs="Arial"/>
          <w:lang w:val="en-US"/>
        </w:rPr>
        <w:t xml:space="preserve">Aggregate </w:t>
      </w:r>
      <w:r>
        <w:rPr>
          <w:rFonts w:ascii="Arial" w:hAnsi="Arial" w:cs="Arial"/>
          <w:lang w:val="el-GR"/>
        </w:rPr>
        <w:t xml:space="preserve">είναι χαμηλότερο από το αντίστοιχο κάτω από την </w:t>
      </w:r>
      <w:r>
        <w:rPr>
          <w:rFonts w:ascii="Arial" w:hAnsi="Arial" w:cs="Arial"/>
          <w:lang w:val="en-US"/>
        </w:rPr>
        <w:t>Entry Age Normal</w:t>
      </w:r>
    </w:p>
    <w:p w:rsidR="00057D77" w:rsidRDefault="00057D77" w:rsidP="00057D77">
      <w:pPr>
        <w:pStyle w:val="BodyText"/>
        <w:numPr>
          <w:ilvl w:val="0"/>
          <w:numId w:val="1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l-GR"/>
        </w:rPr>
        <w:t>Το κανονικό κόστος το 200</w:t>
      </w:r>
      <w:r>
        <w:rPr>
          <w:rFonts w:ascii="Arial" w:hAnsi="Arial" w:cs="Arial"/>
          <w:lang w:val="en-US"/>
        </w:rPr>
        <w:t>8</w:t>
      </w:r>
      <w:r>
        <w:rPr>
          <w:rFonts w:ascii="Arial" w:hAnsi="Arial" w:cs="Arial"/>
          <w:lang w:val="el-GR"/>
        </w:rPr>
        <w:t xml:space="preserve"> κάτω από την </w:t>
      </w:r>
      <w:r>
        <w:rPr>
          <w:rFonts w:ascii="Arial" w:hAnsi="Arial" w:cs="Arial"/>
          <w:lang w:val="en-US"/>
        </w:rPr>
        <w:t xml:space="preserve">Aggregate </w:t>
      </w:r>
      <w:r>
        <w:rPr>
          <w:rFonts w:ascii="Arial" w:hAnsi="Arial" w:cs="Arial"/>
          <w:lang w:val="el-GR"/>
        </w:rPr>
        <w:t>είναι χαμηλότερο από το κανονικό κόστος το 200</w:t>
      </w:r>
      <w:r>
        <w:rPr>
          <w:rFonts w:ascii="Arial" w:hAnsi="Arial" w:cs="Arial"/>
          <w:lang w:val="en-US"/>
        </w:rPr>
        <w:t>7</w:t>
      </w:r>
      <w:r>
        <w:rPr>
          <w:rFonts w:ascii="Arial" w:hAnsi="Arial" w:cs="Arial"/>
          <w:lang w:val="el-GR"/>
        </w:rPr>
        <w:t xml:space="preserve"> κάτω από την ίδια μέθοδο (</w:t>
      </w:r>
      <w:r>
        <w:rPr>
          <w:rFonts w:ascii="Arial" w:hAnsi="Arial" w:cs="Arial"/>
          <w:lang w:val="en-US"/>
        </w:rPr>
        <w:t>Aggregate)</w:t>
      </w:r>
      <w:r>
        <w:rPr>
          <w:rFonts w:ascii="Arial" w:hAnsi="Arial" w:cs="Arial"/>
          <w:lang w:val="el-GR"/>
        </w:rPr>
        <w:t>.</w:t>
      </w:r>
    </w:p>
    <w:p w:rsidR="00057D77" w:rsidRDefault="00057D77" w:rsidP="00057D77">
      <w:pPr>
        <w:pStyle w:val="BodyText"/>
        <w:numPr>
          <w:ilvl w:val="0"/>
          <w:numId w:val="1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l-GR"/>
        </w:rPr>
        <w:t>Το κανονικό κόστος το 200</w:t>
      </w:r>
      <w:r>
        <w:rPr>
          <w:rFonts w:ascii="Arial" w:hAnsi="Arial" w:cs="Arial"/>
          <w:lang w:val="en-US"/>
        </w:rPr>
        <w:t>8</w:t>
      </w:r>
      <w:r>
        <w:rPr>
          <w:rFonts w:ascii="Arial" w:hAnsi="Arial" w:cs="Arial"/>
          <w:lang w:val="el-GR"/>
        </w:rPr>
        <w:t xml:space="preserve"> κάτω από την </w:t>
      </w:r>
      <w:r>
        <w:rPr>
          <w:rFonts w:ascii="Arial" w:hAnsi="Arial" w:cs="Arial"/>
          <w:lang w:val="en-US"/>
        </w:rPr>
        <w:t xml:space="preserve">Entry Age Normal </w:t>
      </w:r>
      <w:r>
        <w:rPr>
          <w:rFonts w:ascii="Arial" w:hAnsi="Arial" w:cs="Arial"/>
          <w:lang w:val="el-GR"/>
        </w:rPr>
        <w:t>είναι χαμηλότερο από το κανονικό κόστος το 200</w:t>
      </w:r>
      <w:r>
        <w:rPr>
          <w:rFonts w:ascii="Arial" w:hAnsi="Arial" w:cs="Arial"/>
          <w:lang w:val="en-US"/>
        </w:rPr>
        <w:t>7</w:t>
      </w:r>
      <w:r>
        <w:rPr>
          <w:rFonts w:ascii="Arial" w:hAnsi="Arial" w:cs="Arial"/>
          <w:lang w:val="el-GR"/>
        </w:rPr>
        <w:t xml:space="preserve"> κάτω από την ίδια μέθοδο (</w:t>
      </w:r>
      <w:r>
        <w:rPr>
          <w:rFonts w:ascii="Arial" w:hAnsi="Arial" w:cs="Arial"/>
          <w:lang w:val="en-US"/>
        </w:rPr>
        <w:t>Entry Age Normal)</w:t>
      </w:r>
      <w:r>
        <w:rPr>
          <w:rFonts w:ascii="Arial" w:hAnsi="Arial" w:cs="Arial"/>
          <w:lang w:val="el-GR"/>
        </w:rPr>
        <w:t>.</w:t>
      </w:r>
    </w:p>
    <w:p w:rsidR="00057D77" w:rsidRPr="00057D77" w:rsidRDefault="00057D77" w:rsidP="00057D77">
      <w:pPr>
        <w:pStyle w:val="BodyText"/>
        <w:ind w:left="720"/>
        <w:rPr>
          <w:rFonts w:ascii="Arial" w:hAnsi="Arial" w:cs="Arial"/>
          <w:lang w:val="en-US"/>
        </w:rPr>
      </w:pPr>
    </w:p>
    <w:p w:rsidR="00213064" w:rsidRPr="00E0551C" w:rsidRDefault="00213064" w:rsidP="00E0551C">
      <w:pPr>
        <w:pStyle w:val="BodyText"/>
        <w:rPr>
          <w:rFonts w:ascii="Arial" w:hAnsi="Arial" w:cs="Arial"/>
          <w:b/>
          <w:lang w:val="el-GR"/>
        </w:rPr>
      </w:pPr>
    </w:p>
    <w:p w:rsidR="005E6FE1" w:rsidRPr="00E0551C" w:rsidRDefault="0000219B" w:rsidP="00E0551C">
      <w:pPr>
        <w:pStyle w:val="BodyText"/>
        <w:rPr>
          <w:rFonts w:ascii="Arial" w:hAnsi="Arial" w:cs="Arial"/>
          <w:vanish/>
          <w:lang w:val="el-GR"/>
          <w:specVanish/>
        </w:rPr>
      </w:pPr>
      <w:r>
        <w:rPr>
          <w:rFonts w:ascii="Arial" w:hAnsi="Arial" w:cs="Arial"/>
          <w:b/>
          <w:lang w:val="el-GR"/>
        </w:rPr>
        <w:br w:type="page"/>
      </w:r>
      <w:r w:rsidR="005E6FE1" w:rsidRPr="00E0551C">
        <w:rPr>
          <w:rFonts w:ascii="Arial" w:hAnsi="Arial" w:cs="Arial"/>
          <w:b/>
          <w:lang w:val="el-GR"/>
        </w:rPr>
        <w:lastRenderedPageBreak/>
        <w:t xml:space="preserve">Θέμα </w:t>
      </w:r>
      <w:r w:rsidR="00264269">
        <w:rPr>
          <w:rFonts w:ascii="Arial" w:hAnsi="Arial" w:cs="Arial"/>
          <w:b/>
          <w:lang w:val="el-GR"/>
        </w:rPr>
        <w:t>4</w:t>
      </w:r>
      <w:r w:rsidR="005E6FE1" w:rsidRPr="00E0551C">
        <w:rPr>
          <w:rFonts w:ascii="Arial" w:hAnsi="Arial" w:cs="Arial"/>
          <w:b/>
          <w:lang w:val="el-GR"/>
        </w:rPr>
        <w:t xml:space="preserve"> </w:t>
      </w:r>
      <w:r w:rsidR="005E6FE1" w:rsidRPr="00E0551C">
        <w:rPr>
          <w:rFonts w:ascii="Arial" w:hAnsi="Arial" w:cs="Arial"/>
          <w:lang w:val="el-GR"/>
        </w:rPr>
        <w:t>(</w:t>
      </w:r>
      <w:r w:rsidR="00B24F77">
        <w:rPr>
          <w:rFonts w:ascii="Arial" w:hAnsi="Arial" w:cs="Arial"/>
          <w:lang w:val="el-GR"/>
        </w:rPr>
        <w:t>8</w:t>
      </w:r>
      <w:r w:rsidR="005E6FE1" w:rsidRPr="00E0551C">
        <w:rPr>
          <w:rFonts w:ascii="Arial" w:hAnsi="Arial" w:cs="Arial"/>
          <w:lang w:val="el-GR"/>
        </w:rPr>
        <w:t xml:space="preserve"> βαθμοί)</w:t>
      </w:r>
    </w:p>
    <w:p w:rsidR="005E6FE1" w:rsidRPr="00E0551C" w:rsidRDefault="005E6FE1" w:rsidP="00E0551C">
      <w:pPr>
        <w:pStyle w:val="BodyText"/>
        <w:rPr>
          <w:rFonts w:ascii="Arial" w:hAnsi="Arial" w:cs="Arial"/>
          <w:lang w:val="el-GR"/>
        </w:rPr>
      </w:pPr>
      <w:r w:rsidRPr="00E0551C">
        <w:rPr>
          <w:rFonts w:ascii="Arial" w:hAnsi="Arial" w:cs="Arial"/>
          <w:lang w:val="el-GR"/>
        </w:rPr>
        <w:t xml:space="preserve"> </w:t>
      </w:r>
    </w:p>
    <w:p w:rsidR="00EB6456" w:rsidRDefault="00EB6456" w:rsidP="00E0551C">
      <w:pPr>
        <w:pStyle w:val="BodyText"/>
        <w:rPr>
          <w:rFonts w:ascii="Arial" w:hAnsi="Arial" w:cs="Arial"/>
          <w:lang w:val="el-GR"/>
        </w:rPr>
      </w:pPr>
      <w:r w:rsidRPr="00EB6456">
        <w:rPr>
          <w:rFonts w:ascii="Arial" w:hAnsi="Arial" w:cs="Arial"/>
          <w:lang w:val="el-GR"/>
        </w:rPr>
        <w:t>Συνταξιοδοτικό σχήμα με έναρξη τ</w:t>
      </w:r>
      <w:r>
        <w:rPr>
          <w:rFonts w:ascii="Arial" w:hAnsi="Arial" w:cs="Arial"/>
          <w:lang w:val="el-GR"/>
        </w:rPr>
        <w:t>ην 1/1/</w:t>
      </w:r>
      <w:r w:rsidRPr="00EB6456">
        <w:rPr>
          <w:rFonts w:ascii="Arial" w:hAnsi="Arial" w:cs="Arial"/>
          <w:lang w:val="el-GR"/>
        </w:rPr>
        <w:t xml:space="preserve">2005 </w:t>
      </w:r>
      <w:r>
        <w:rPr>
          <w:rFonts w:ascii="Arial" w:hAnsi="Arial" w:cs="Arial"/>
          <w:lang w:val="el-GR"/>
        </w:rPr>
        <w:t>καλύπτει δύο άτομα τα στοιχεία των οποίων παρουσιάζονται στον παρακάτω πίνακα και αναγνωρίζει πλήρως την προϋπηρεσία τους. Το σχήμα παρέχει μηνιαία σύνταξη ίση προς το 2% του τελευταίου μηνιαίου μισθού πριν τη συνταξιοδότηση στην ηλικία των 65 ετών</w:t>
      </w:r>
      <w:r w:rsidR="00B24F77">
        <w:rPr>
          <w:rFonts w:ascii="Arial" w:hAnsi="Arial" w:cs="Arial"/>
          <w:lang w:val="el-GR"/>
        </w:rPr>
        <w:t xml:space="preserve"> για κάθε χρόνο υπηρεσίας</w:t>
      </w:r>
      <w:r>
        <w:rPr>
          <w:rFonts w:ascii="Arial" w:hAnsi="Arial" w:cs="Arial"/>
          <w:lang w:val="el-GR"/>
        </w:rPr>
        <w:t xml:space="preserve">,  </w:t>
      </w:r>
      <w:r w:rsidRPr="00EB6456">
        <w:rPr>
          <w:rFonts w:ascii="Arial" w:hAnsi="Arial" w:cs="Arial"/>
          <w:position w:val="-6"/>
          <w:lang w:val="el-GR"/>
        </w:rPr>
        <w:object w:dxaOrig="460" w:dyaOrig="480">
          <v:shape id="_x0000_i1027" type="#_x0000_t75" style="width:23.25pt;height:24pt" o:ole="">
            <v:imagedata r:id="rId10" o:title=""/>
          </v:shape>
          <o:OLEObject Type="Embed" ProgID="Equation.3" ShapeID="_x0000_i1027" DrawAspect="Content" ObjectID="_1421757296" r:id="rId11"/>
        </w:object>
      </w:r>
      <w:r>
        <w:rPr>
          <w:rFonts w:ascii="Arial" w:hAnsi="Arial" w:cs="Arial"/>
          <w:lang w:val="el-GR"/>
        </w:rPr>
        <w:t xml:space="preserve">= 10. στο πλάνο εφαρμόζεται η </w:t>
      </w:r>
      <w:r>
        <w:rPr>
          <w:rFonts w:ascii="Arial" w:hAnsi="Arial" w:cs="Arial"/>
          <w:lang w:val="en-US"/>
        </w:rPr>
        <w:t>Frozen</w:t>
      </w:r>
      <w:r w:rsidRPr="00EB6456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n-US"/>
        </w:rPr>
        <w:t>Initial</w:t>
      </w:r>
      <w:r w:rsidRPr="00EB6456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n-US"/>
        </w:rPr>
        <w:t>Liability</w:t>
      </w:r>
      <w:r w:rsidRPr="00EB6456">
        <w:rPr>
          <w:rFonts w:ascii="Arial" w:hAnsi="Arial" w:cs="Arial"/>
          <w:lang w:val="el-GR"/>
        </w:rPr>
        <w:t xml:space="preserve"> (</w:t>
      </w:r>
      <w:r>
        <w:rPr>
          <w:rFonts w:ascii="Arial" w:hAnsi="Arial" w:cs="Arial"/>
          <w:lang w:val="en-US"/>
        </w:rPr>
        <w:t>attained</w:t>
      </w:r>
      <w:r w:rsidRPr="00EB6456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n-US"/>
        </w:rPr>
        <w:t>age</w:t>
      </w:r>
      <w:r w:rsidRPr="00EB6456">
        <w:rPr>
          <w:rFonts w:ascii="Arial" w:hAnsi="Arial" w:cs="Arial"/>
          <w:lang w:val="el-GR"/>
        </w:rPr>
        <w:t xml:space="preserve">) </w:t>
      </w:r>
      <w:r>
        <w:rPr>
          <w:rFonts w:ascii="Arial" w:hAnsi="Arial" w:cs="Arial"/>
          <w:lang w:val="el-GR"/>
        </w:rPr>
        <w:t xml:space="preserve">και αίτιο εξόδου πριν τη συνταξιοδότηση δεν υπάρχει. Η απόσβεση της πρόσθετης αναλογιστικής υποχρέωσης θα ολοκληρωθεί σε </w:t>
      </w:r>
      <w:r w:rsidR="00B24F77">
        <w:rPr>
          <w:rFonts w:ascii="Arial" w:hAnsi="Arial" w:cs="Arial"/>
          <w:lang w:val="el-GR"/>
        </w:rPr>
        <w:t>2</w:t>
      </w:r>
      <w:r>
        <w:rPr>
          <w:rFonts w:ascii="Arial" w:hAnsi="Arial" w:cs="Arial"/>
          <w:lang w:val="el-GR"/>
        </w:rPr>
        <w:t xml:space="preserve"> χρόνια. </w:t>
      </w:r>
    </w:p>
    <w:p w:rsidR="0000219B" w:rsidRDefault="00EB6456" w:rsidP="00E0551C">
      <w:pPr>
        <w:pStyle w:val="BodyText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Δίδονται: Επιτόκιο αποτίμησης 5% ετησίως, ποσοστό αύξησης αποδοχών 3% ετησίως, ποσοστό απόδοσης επενδύσεων 7% ετησίως </w:t>
      </w:r>
      <w:r w:rsidR="0000219B">
        <w:rPr>
          <w:rFonts w:ascii="Arial" w:hAnsi="Arial" w:cs="Arial"/>
          <w:lang w:val="el-GR"/>
        </w:rPr>
        <w:t xml:space="preserve">και λειτουργικά έξοδα €3.000 αυξανόμενα ετησίως με 2%. </w:t>
      </w:r>
    </w:p>
    <w:p w:rsidR="0000219B" w:rsidRDefault="0000219B" w:rsidP="00E0551C">
      <w:pPr>
        <w:pStyle w:val="BodyText"/>
        <w:rPr>
          <w:rFonts w:ascii="Arial" w:hAnsi="Arial" w:cs="Arial"/>
          <w:lang w:val="el-G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00219B">
        <w:tc>
          <w:tcPr>
            <w:tcW w:w="2130" w:type="dxa"/>
          </w:tcPr>
          <w:p w:rsidR="0000219B" w:rsidRDefault="0000219B" w:rsidP="00E0551C">
            <w:pPr>
              <w:pStyle w:val="BodyTex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Ασφαλισμένοι</w:t>
            </w:r>
          </w:p>
        </w:tc>
        <w:tc>
          <w:tcPr>
            <w:tcW w:w="2130" w:type="dxa"/>
          </w:tcPr>
          <w:p w:rsidR="0000219B" w:rsidRDefault="0000219B" w:rsidP="00E0551C">
            <w:pPr>
              <w:pStyle w:val="BodyTex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Ημερομηνία γέννησης</w:t>
            </w:r>
          </w:p>
        </w:tc>
        <w:tc>
          <w:tcPr>
            <w:tcW w:w="2131" w:type="dxa"/>
          </w:tcPr>
          <w:p w:rsidR="0000219B" w:rsidRDefault="0000219B" w:rsidP="00E0551C">
            <w:pPr>
              <w:pStyle w:val="BodyTex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Ημερομηνία Πρόσληψης</w:t>
            </w:r>
          </w:p>
        </w:tc>
        <w:tc>
          <w:tcPr>
            <w:tcW w:w="2131" w:type="dxa"/>
          </w:tcPr>
          <w:p w:rsidR="0000219B" w:rsidRDefault="0000219B" w:rsidP="00E0551C">
            <w:pPr>
              <w:pStyle w:val="BodyTex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Μηνιαίος μισθός σε €</w:t>
            </w:r>
          </w:p>
        </w:tc>
      </w:tr>
      <w:tr w:rsidR="0000219B">
        <w:tc>
          <w:tcPr>
            <w:tcW w:w="2130" w:type="dxa"/>
          </w:tcPr>
          <w:p w:rsidR="0000219B" w:rsidRDefault="0000219B" w:rsidP="00E0551C">
            <w:pPr>
              <w:pStyle w:val="BodyTex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</w:t>
            </w:r>
          </w:p>
        </w:tc>
        <w:tc>
          <w:tcPr>
            <w:tcW w:w="2130" w:type="dxa"/>
          </w:tcPr>
          <w:p w:rsidR="0000219B" w:rsidRDefault="0000219B" w:rsidP="00E0551C">
            <w:pPr>
              <w:pStyle w:val="BodyTex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1/1/1954</w:t>
            </w:r>
          </w:p>
        </w:tc>
        <w:tc>
          <w:tcPr>
            <w:tcW w:w="2131" w:type="dxa"/>
          </w:tcPr>
          <w:p w:rsidR="0000219B" w:rsidRDefault="0000219B" w:rsidP="00E0551C">
            <w:pPr>
              <w:pStyle w:val="BodyTex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1/1/1988</w:t>
            </w:r>
          </w:p>
        </w:tc>
        <w:tc>
          <w:tcPr>
            <w:tcW w:w="2131" w:type="dxa"/>
          </w:tcPr>
          <w:p w:rsidR="0000219B" w:rsidRDefault="0000219B" w:rsidP="00E0551C">
            <w:pPr>
              <w:pStyle w:val="BodyTex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2.700</w:t>
            </w:r>
          </w:p>
        </w:tc>
      </w:tr>
      <w:tr w:rsidR="0000219B">
        <w:tc>
          <w:tcPr>
            <w:tcW w:w="2130" w:type="dxa"/>
          </w:tcPr>
          <w:p w:rsidR="0000219B" w:rsidRDefault="0000219B" w:rsidP="00E0551C">
            <w:pPr>
              <w:pStyle w:val="BodyTex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Β</w:t>
            </w:r>
          </w:p>
        </w:tc>
        <w:tc>
          <w:tcPr>
            <w:tcW w:w="2130" w:type="dxa"/>
          </w:tcPr>
          <w:p w:rsidR="0000219B" w:rsidRDefault="0000219B" w:rsidP="00E0551C">
            <w:pPr>
              <w:pStyle w:val="BodyTex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1/1/1958</w:t>
            </w:r>
          </w:p>
        </w:tc>
        <w:tc>
          <w:tcPr>
            <w:tcW w:w="2131" w:type="dxa"/>
          </w:tcPr>
          <w:p w:rsidR="0000219B" w:rsidRDefault="0000219B" w:rsidP="00E0551C">
            <w:pPr>
              <w:pStyle w:val="BodyTex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1/1/1989</w:t>
            </w:r>
          </w:p>
        </w:tc>
        <w:tc>
          <w:tcPr>
            <w:tcW w:w="2131" w:type="dxa"/>
          </w:tcPr>
          <w:p w:rsidR="0000219B" w:rsidRDefault="0000219B" w:rsidP="00E0551C">
            <w:pPr>
              <w:pStyle w:val="BodyTex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2.300</w:t>
            </w:r>
          </w:p>
        </w:tc>
      </w:tr>
    </w:tbl>
    <w:p w:rsidR="0000219B" w:rsidRDefault="0000219B" w:rsidP="00E0551C">
      <w:pPr>
        <w:pStyle w:val="BodyText"/>
        <w:rPr>
          <w:rFonts w:ascii="Arial" w:hAnsi="Arial" w:cs="Arial"/>
          <w:lang w:val="el-GR"/>
        </w:rPr>
      </w:pPr>
    </w:p>
    <w:p w:rsidR="00F44521" w:rsidRDefault="0000219B" w:rsidP="00B24F77">
      <w:pPr>
        <w:pStyle w:val="BodyText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Γνωρίζοντας ότι δεν υπάρχει απόκλιση από τις αναλογιστικές υποθέσεις να υπολογισθ</w:t>
      </w:r>
      <w:r w:rsidR="00B24F77">
        <w:rPr>
          <w:rFonts w:ascii="Arial" w:hAnsi="Arial" w:cs="Arial"/>
          <w:lang w:val="el-GR"/>
        </w:rPr>
        <w:t>εί τ</w:t>
      </w:r>
      <w:r w:rsidR="00F44521">
        <w:rPr>
          <w:rFonts w:ascii="Arial" w:hAnsi="Arial" w:cs="Arial"/>
          <w:lang w:val="el-GR"/>
        </w:rPr>
        <w:t>ο αναλογιστικό Ισοζύγιο την 1/1/2006</w:t>
      </w:r>
    </w:p>
    <w:p w:rsidR="006B60F6" w:rsidRDefault="006B60F6" w:rsidP="006B60F6">
      <w:pPr>
        <w:pStyle w:val="BodyText"/>
        <w:ind w:left="357"/>
        <w:rPr>
          <w:rFonts w:ascii="Arial" w:hAnsi="Arial" w:cs="Arial"/>
          <w:lang w:val="en-US"/>
        </w:rPr>
      </w:pPr>
    </w:p>
    <w:p w:rsidR="003765D3" w:rsidRPr="003765D3" w:rsidRDefault="003765D3" w:rsidP="003765D3">
      <w:pPr>
        <w:rPr>
          <w:rFonts w:ascii="Arial" w:hAnsi="Arial" w:cs="Arial"/>
          <w:b/>
          <w:lang w:val="el-GR"/>
        </w:rPr>
      </w:pPr>
      <w:r w:rsidRPr="003765D3">
        <w:rPr>
          <w:rFonts w:ascii="Arial" w:hAnsi="Arial" w:cs="Arial"/>
          <w:b/>
          <w:lang w:val="el-GR"/>
        </w:rPr>
        <w:t xml:space="preserve">ΘΕΜΑ </w:t>
      </w:r>
      <w:r>
        <w:rPr>
          <w:rFonts w:ascii="Arial" w:hAnsi="Arial" w:cs="Arial"/>
          <w:b/>
          <w:lang w:val="en-US"/>
        </w:rPr>
        <w:t>5</w:t>
      </w:r>
      <w:r w:rsidRPr="003765D3">
        <w:rPr>
          <w:rFonts w:ascii="Arial" w:hAnsi="Arial" w:cs="Arial"/>
          <w:b/>
          <w:lang w:val="el-GR"/>
        </w:rPr>
        <w:t xml:space="preserve"> </w:t>
      </w:r>
      <w:r w:rsidRPr="001E1C7D">
        <w:rPr>
          <w:rFonts w:ascii="Arial" w:hAnsi="Arial" w:cs="Arial"/>
          <w:lang w:val="el-GR"/>
        </w:rPr>
        <w:t>(5 Βαθμοί</w:t>
      </w:r>
      <w:r w:rsidRPr="003765D3">
        <w:rPr>
          <w:rFonts w:ascii="Arial" w:hAnsi="Arial" w:cs="Arial"/>
          <w:b/>
          <w:lang w:val="el-GR"/>
        </w:rPr>
        <w:t>)</w:t>
      </w:r>
    </w:p>
    <w:p w:rsidR="003765D3" w:rsidRPr="003765D3" w:rsidRDefault="003765D3" w:rsidP="003765D3">
      <w:pPr>
        <w:spacing w:after="120"/>
        <w:jc w:val="both"/>
        <w:rPr>
          <w:rFonts w:ascii="Arial" w:hAnsi="Arial" w:cs="Arial"/>
          <w:lang w:val="el-GR"/>
        </w:rPr>
      </w:pPr>
      <w:r w:rsidRPr="003765D3">
        <w:rPr>
          <w:rFonts w:ascii="Arial" w:hAnsi="Arial" w:cs="Arial"/>
          <w:lang w:val="el-GR"/>
        </w:rPr>
        <w:t xml:space="preserve">Σε ένα συνταξιοδοτικό σχήμα που αρχίζει να λειτουργεί, όλοι οι νεοεισερχόμενοι έχουν ηλικία e, όλοι οι νέοι συνταξιούχοι εξέρχονται από την αγορά εργασίας σε ηλικία r και όλοι οι ασφαλισμένοι πεθαίνουν σε ηλικία ω. </w:t>
      </w:r>
    </w:p>
    <w:p w:rsidR="003765D3" w:rsidRPr="003765D3" w:rsidRDefault="003765D3" w:rsidP="003765D3">
      <w:pPr>
        <w:spacing w:after="1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Ερώτηση α)</w:t>
      </w:r>
    </w:p>
    <w:p w:rsidR="003765D3" w:rsidRPr="003765D3" w:rsidRDefault="003765D3" w:rsidP="003765D3">
      <w:pPr>
        <w:spacing w:after="120"/>
        <w:jc w:val="both"/>
        <w:rPr>
          <w:rFonts w:ascii="Arial" w:hAnsi="Arial" w:cs="Arial"/>
          <w:lang w:val="el-GR"/>
        </w:rPr>
      </w:pPr>
      <w:r w:rsidRPr="003765D3">
        <w:rPr>
          <w:rFonts w:ascii="Arial" w:hAnsi="Arial" w:cs="Arial"/>
          <w:lang w:val="el-GR"/>
        </w:rPr>
        <w:t>i. (1 βαθμός) Να υπολογιστεί ο δημογραφικός λόγος της πρώτης γενιάς ασφαλισμένων στο</w:t>
      </w:r>
      <w:r w:rsidRPr="003765D3">
        <w:rPr>
          <w:rFonts w:ascii="Arial" w:hAnsi="Arial" w:cs="Arial"/>
          <w:lang w:val="en-US"/>
        </w:rPr>
        <w:t xml:space="preserve"> </w:t>
      </w:r>
      <w:r w:rsidRPr="003765D3">
        <w:rPr>
          <w:rFonts w:ascii="Arial" w:hAnsi="Arial" w:cs="Arial"/>
          <w:lang w:val="el-GR"/>
        </w:rPr>
        <w:t xml:space="preserve">σύστημα </w:t>
      </w:r>
    </w:p>
    <w:p w:rsidR="003765D3" w:rsidRPr="003765D3" w:rsidRDefault="003765D3" w:rsidP="003765D3">
      <w:pPr>
        <w:spacing w:after="120"/>
        <w:jc w:val="both"/>
        <w:rPr>
          <w:rFonts w:ascii="Arial" w:hAnsi="Arial" w:cs="Arial"/>
          <w:lang w:val="el-GR"/>
        </w:rPr>
      </w:pPr>
      <w:r w:rsidRPr="003765D3">
        <w:rPr>
          <w:rFonts w:ascii="Arial" w:hAnsi="Arial" w:cs="Arial"/>
          <w:lang w:val="el-GR"/>
        </w:rPr>
        <w:t>ii. (1 βαθμοί) Να υπολογισθεί ο λόγος των συνολικών ετών υπηρεσίας της πρώτης γενιάς ενεργών που εισήρθαν στο σύστημα από ηλικία e έως ηλικία r προς τα συνολικά έτη συνταξιοδότησης της ίδιας ομάδας όταν θα είναι συνταξιούχοι.</w:t>
      </w:r>
    </w:p>
    <w:p w:rsidR="003765D3" w:rsidRPr="003765D3" w:rsidRDefault="003765D3" w:rsidP="003765D3">
      <w:pPr>
        <w:spacing w:after="120"/>
        <w:jc w:val="both"/>
        <w:rPr>
          <w:rFonts w:ascii="Arial" w:hAnsi="Arial" w:cs="Arial"/>
          <w:lang w:val="el-GR"/>
        </w:rPr>
      </w:pPr>
      <w:r w:rsidRPr="003765D3">
        <w:rPr>
          <w:rFonts w:ascii="Arial" w:hAnsi="Arial" w:cs="Arial"/>
          <w:lang w:val="el-GR"/>
        </w:rPr>
        <w:t>iii. (1 βαθμός) ποια είναι η σχέση των παραμέτρων e, r και ω ώστε  το σύστημα είναι δημογραφικά βιώσιμο;</w:t>
      </w:r>
    </w:p>
    <w:p w:rsidR="003765D3" w:rsidRPr="003765D3" w:rsidRDefault="003765D3" w:rsidP="003765D3">
      <w:pPr>
        <w:spacing w:after="120"/>
        <w:jc w:val="both"/>
        <w:rPr>
          <w:rFonts w:ascii="Arial" w:hAnsi="Arial" w:cs="Arial"/>
          <w:lang w:val="el-GR"/>
        </w:rPr>
      </w:pPr>
      <w:r w:rsidRPr="003765D3">
        <w:rPr>
          <w:rFonts w:ascii="Arial" w:hAnsi="Arial" w:cs="Arial"/>
          <w:lang w:val="el-GR"/>
        </w:rPr>
        <w:t xml:space="preserve">Ερώτηση </w:t>
      </w:r>
      <w:r>
        <w:rPr>
          <w:rFonts w:ascii="Arial" w:hAnsi="Arial" w:cs="Arial"/>
          <w:lang w:val="el-GR"/>
        </w:rPr>
        <w:t>β</w:t>
      </w:r>
      <w:r w:rsidRPr="003765D3">
        <w:rPr>
          <w:rFonts w:ascii="Arial" w:hAnsi="Arial" w:cs="Arial"/>
          <w:lang w:val="el-GR"/>
        </w:rPr>
        <w:t>)</w:t>
      </w:r>
    </w:p>
    <w:p w:rsidR="003765D3" w:rsidRPr="003765D3" w:rsidRDefault="003765D3" w:rsidP="003765D3">
      <w:pPr>
        <w:pStyle w:val="ListParagraph"/>
        <w:numPr>
          <w:ilvl w:val="0"/>
          <w:numId w:val="14"/>
        </w:numPr>
        <w:spacing w:after="120"/>
        <w:jc w:val="both"/>
        <w:rPr>
          <w:rFonts w:ascii="Arial" w:hAnsi="Arial" w:cs="Arial"/>
          <w:lang w:val="el-GR"/>
        </w:rPr>
      </w:pPr>
      <w:r w:rsidRPr="003765D3">
        <w:rPr>
          <w:rFonts w:ascii="Arial" w:hAnsi="Arial" w:cs="Arial"/>
          <w:lang w:val="el-GR"/>
        </w:rPr>
        <w:t>(2 βαθμοί)  Ποιο και γιατί είναι κατά τη γνώμη σας το πιο σημαντικό ταμείο κοινωνικής ασφάλισης. Περιγράψτε τα βασικά χαρακτηριστικά του και αιτιολογείστε την απάντησή σας</w:t>
      </w:r>
    </w:p>
    <w:p w:rsidR="003765D3" w:rsidRPr="003765D3" w:rsidRDefault="003765D3" w:rsidP="003765D3">
      <w:pPr>
        <w:rPr>
          <w:rFonts w:ascii="Arial" w:hAnsi="Arial" w:cs="Arial"/>
          <w:lang w:val="el-GR"/>
        </w:rPr>
      </w:pPr>
    </w:p>
    <w:p w:rsidR="003765D3" w:rsidRPr="003765D3" w:rsidRDefault="003765D3" w:rsidP="003765D3">
      <w:pPr>
        <w:rPr>
          <w:rFonts w:ascii="Arial" w:hAnsi="Arial" w:cs="Arial"/>
          <w:lang w:val="el-GR"/>
        </w:rPr>
      </w:pPr>
    </w:p>
    <w:p w:rsidR="003765D3" w:rsidRDefault="003765D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br w:type="page"/>
      </w:r>
    </w:p>
    <w:p w:rsidR="003765D3" w:rsidRPr="003765D3" w:rsidRDefault="003765D3" w:rsidP="003765D3">
      <w:pPr>
        <w:rPr>
          <w:rFonts w:ascii="Arial" w:hAnsi="Arial" w:cs="Arial"/>
          <w:b/>
          <w:lang w:val="el-GR"/>
        </w:rPr>
      </w:pPr>
      <w:r w:rsidRPr="003765D3">
        <w:rPr>
          <w:rFonts w:ascii="Arial" w:hAnsi="Arial" w:cs="Arial"/>
          <w:b/>
          <w:lang w:val="el-GR"/>
        </w:rPr>
        <w:lastRenderedPageBreak/>
        <w:t xml:space="preserve">ΘΕΜΑ </w:t>
      </w:r>
      <w:r>
        <w:rPr>
          <w:rFonts w:ascii="Arial" w:hAnsi="Arial" w:cs="Arial"/>
          <w:b/>
          <w:lang w:val="el-GR"/>
        </w:rPr>
        <w:t>6</w:t>
      </w:r>
      <w:r w:rsidRPr="003765D3">
        <w:rPr>
          <w:rFonts w:ascii="Arial" w:hAnsi="Arial" w:cs="Arial"/>
          <w:b/>
          <w:lang w:val="el-GR"/>
        </w:rPr>
        <w:t xml:space="preserve"> </w:t>
      </w:r>
      <w:r w:rsidRPr="001E1C7D">
        <w:rPr>
          <w:rFonts w:ascii="Arial" w:hAnsi="Arial" w:cs="Arial"/>
          <w:lang w:val="el-GR"/>
        </w:rPr>
        <w:t>(10 Βαθμοί)</w:t>
      </w:r>
    </w:p>
    <w:p w:rsidR="003765D3" w:rsidRPr="003765D3" w:rsidRDefault="003765D3" w:rsidP="003765D3">
      <w:pPr>
        <w:spacing w:after="120"/>
        <w:jc w:val="both"/>
        <w:rPr>
          <w:rFonts w:ascii="Arial" w:hAnsi="Arial" w:cs="Arial"/>
          <w:lang w:val="el-GR"/>
        </w:rPr>
      </w:pPr>
      <w:r w:rsidRPr="003765D3">
        <w:rPr>
          <w:rFonts w:ascii="Arial" w:hAnsi="Arial" w:cs="Arial"/>
          <w:lang w:val="el-GR"/>
        </w:rPr>
        <w:t>Σε ταμείο κοινωνικής ασφάλισης έχουμε τα δεδομένα που καταγράφονται στον παρακάτω πίνακα κατά το κλείσιμο του έτους t= 2011 απεικονίζουν το πλήθος των ενεργών του ταμείου ανά έτη προϋπηρεσίας. Όλοι οι νεοεισερχόμενοι είναι ηλικίας 15 ετών, δεν συμβαίνει καμιά αναπηρία και κανένας θάνατος για τους ενεργούς, η αύξηση συντάξεων είναι  β=2%, η αύξηση μισθών είναι γ=3%, η ωρίμανση είναι ω=1%, το πλαφόν σύνταξης 2012 = 850€ το μήνα και η πυκνότητα των εισφορών d=90%.</w:t>
      </w:r>
    </w:p>
    <w:tbl>
      <w:tblPr>
        <w:tblStyle w:val="TableGrid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439"/>
        <w:gridCol w:w="970"/>
        <w:gridCol w:w="1014"/>
        <w:gridCol w:w="567"/>
        <w:gridCol w:w="567"/>
        <w:gridCol w:w="567"/>
        <w:gridCol w:w="622"/>
        <w:gridCol w:w="992"/>
        <w:gridCol w:w="1417"/>
        <w:gridCol w:w="993"/>
        <w:gridCol w:w="770"/>
      </w:tblGrid>
      <w:tr w:rsidR="003765D3" w:rsidRPr="003765D3" w:rsidTr="00827DDB">
        <w:trPr>
          <w:jc w:val="center"/>
        </w:trPr>
        <w:tc>
          <w:tcPr>
            <w:tcW w:w="1439" w:type="dxa"/>
          </w:tcPr>
          <w:p w:rsidR="003765D3" w:rsidRPr="003765D3" w:rsidRDefault="003765D3" w:rsidP="003765D3">
            <w:pPr>
              <w:spacing w:after="120"/>
              <w:jc w:val="both"/>
              <w:rPr>
                <w:rFonts w:ascii="Arial" w:hAnsi="Arial" w:cs="Arial"/>
                <w:lang w:val="el-GR"/>
              </w:rPr>
            </w:pPr>
            <w:r w:rsidRPr="003765D3">
              <w:rPr>
                <w:rFonts w:ascii="Arial" w:hAnsi="Arial" w:cs="Arial"/>
                <w:lang w:val="el-GR"/>
              </w:rPr>
              <w:t>Κατάσταση</w:t>
            </w:r>
          </w:p>
        </w:tc>
        <w:tc>
          <w:tcPr>
            <w:tcW w:w="970" w:type="dxa"/>
          </w:tcPr>
          <w:p w:rsidR="003765D3" w:rsidRPr="003765D3" w:rsidRDefault="003765D3" w:rsidP="003765D3">
            <w:pPr>
              <w:spacing w:after="120"/>
              <w:jc w:val="both"/>
              <w:rPr>
                <w:rFonts w:ascii="Arial" w:hAnsi="Arial" w:cs="Arial"/>
                <w:lang w:val="el-GR"/>
              </w:rPr>
            </w:pPr>
            <w:r w:rsidRPr="003765D3">
              <w:rPr>
                <w:rFonts w:ascii="Arial" w:hAnsi="Arial" w:cs="Arial"/>
                <w:lang w:val="el-GR"/>
              </w:rPr>
              <w:t>Ηλικία</w:t>
            </w:r>
          </w:p>
        </w:tc>
        <w:tc>
          <w:tcPr>
            <w:tcW w:w="1014" w:type="dxa"/>
          </w:tcPr>
          <w:p w:rsidR="003765D3" w:rsidRPr="003765D3" w:rsidRDefault="003765D3" w:rsidP="003765D3">
            <w:pPr>
              <w:spacing w:after="120"/>
              <w:jc w:val="both"/>
              <w:rPr>
                <w:rFonts w:ascii="Arial" w:hAnsi="Arial" w:cs="Arial"/>
                <w:lang w:val="el-GR"/>
              </w:rPr>
            </w:pPr>
            <w:r w:rsidRPr="003765D3">
              <w:rPr>
                <w:rFonts w:ascii="Arial" w:hAnsi="Arial" w:cs="Arial"/>
                <w:lang w:val="el-GR"/>
              </w:rPr>
              <w:t xml:space="preserve">Πλήθος </w:t>
            </w:r>
            <w:proofErr w:type="spellStart"/>
            <w:r w:rsidRPr="003765D3">
              <w:rPr>
                <w:rFonts w:ascii="Arial" w:hAnsi="Arial" w:cs="Arial"/>
                <w:lang w:val="el-GR"/>
              </w:rPr>
              <w:t>Συνταξ</w:t>
            </w:r>
            <w:proofErr w:type="spellEnd"/>
          </w:p>
        </w:tc>
        <w:tc>
          <w:tcPr>
            <w:tcW w:w="2323" w:type="dxa"/>
            <w:gridSpan w:val="4"/>
          </w:tcPr>
          <w:p w:rsidR="003765D3" w:rsidRPr="003765D3" w:rsidRDefault="003765D3" w:rsidP="003765D3">
            <w:pPr>
              <w:spacing w:after="120"/>
              <w:jc w:val="both"/>
              <w:rPr>
                <w:rFonts w:ascii="Arial" w:hAnsi="Arial" w:cs="Arial"/>
                <w:lang w:val="el-GR"/>
              </w:rPr>
            </w:pPr>
            <w:r w:rsidRPr="003765D3">
              <w:rPr>
                <w:rFonts w:ascii="Arial" w:hAnsi="Arial" w:cs="Arial"/>
                <w:lang w:val="el-GR"/>
              </w:rPr>
              <w:t xml:space="preserve">Προϋπηρεσία ενεργών </w:t>
            </w:r>
          </w:p>
          <w:p w:rsidR="003765D3" w:rsidRPr="003765D3" w:rsidRDefault="003765D3" w:rsidP="003765D3">
            <w:pPr>
              <w:spacing w:after="120"/>
              <w:jc w:val="both"/>
              <w:rPr>
                <w:rFonts w:ascii="Arial" w:hAnsi="Arial" w:cs="Arial"/>
                <w:lang w:val="el-GR"/>
              </w:rPr>
            </w:pPr>
            <w:r w:rsidRPr="003765D3">
              <w:rPr>
                <w:rFonts w:ascii="Arial" w:hAnsi="Arial" w:cs="Arial"/>
                <w:lang w:val="el-GR"/>
              </w:rPr>
              <w:t xml:space="preserve">σε έτη/ </w:t>
            </w:r>
          </w:p>
          <w:p w:rsidR="003765D3" w:rsidRPr="003765D3" w:rsidRDefault="003765D3" w:rsidP="003765D3">
            <w:pPr>
              <w:spacing w:after="120"/>
              <w:jc w:val="both"/>
              <w:rPr>
                <w:rFonts w:ascii="Arial" w:hAnsi="Arial" w:cs="Arial"/>
                <w:lang w:val="el-GR"/>
              </w:rPr>
            </w:pPr>
            <w:r w:rsidRPr="003765D3">
              <w:rPr>
                <w:rFonts w:ascii="Arial" w:hAnsi="Arial" w:cs="Arial"/>
                <w:lang w:val="el-GR"/>
              </w:rPr>
              <w:t>Πλήθος Ενεργών</w:t>
            </w:r>
          </w:p>
        </w:tc>
        <w:tc>
          <w:tcPr>
            <w:tcW w:w="992" w:type="dxa"/>
          </w:tcPr>
          <w:p w:rsidR="003765D3" w:rsidRPr="003765D3" w:rsidRDefault="003765D3" w:rsidP="003765D3">
            <w:pPr>
              <w:spacing w:after="120"/>
              <w:jc w:val="both"/>
              <w:rPr>
                <w:rFonts w:ascii="Arial" w:hAnsi="Arial" w:cs="Arial"/>
                <w:lang w:val="el-GR"/>
              </w:rPr>
            </w:pPr>
            <w:r w:rsidRPr="003765D3">
              <w:rPr>
                <w:rFonts w:ascii="Arial" w:hAnsi="Arial" w:cs="Arial"/>
                <w:lang w:val="el-GR"/>
              </w:rPr>
              <w:t>Μέσος ετήσιος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r w:rsidRPr="003765D3">
              <w:rPr>
                <w:rFonts w:ascii="Arial" w:hAnsi="Arial" w:cs="Arial"/>
                <w:lang w:val="el-GR"/>
              </w:rPr>
              <w:t xml:space="preserve">μισθός </w:t>
            </w:r>
            <w:proofErr w:type="spellStart"/>
            <w:r w:rsidRPr="003765D3">
              <w:rPr>
                <w:rFonts w:ascii="Arial" w:hAnsi="Arial" w:cs="Arial"/>
                <w:lang w:val="el-GR"/>
              </w:rPr>
              <w:t>s(x,t</w:t>
            </w:r>
            <w:proofErr w:type="spellEnd"/>
            <w:r w:rsidRPr="003765D3">
              <w:rPr>
                <w:rFonts w:ascii="Arial" w:hAnsi="Arial" w:cs="Arial"/>
                <w:lang w:val="el-GR"/>
              </w:rPr>
              <w:t>)</w:t>
            </w:r>
          </w:p>
        </w:tc>
        <w:tc>
          <w:tcPr>
            <w:tcW w:w="1417" w:type="dxa"/>
          </w:tcPr>
          <w:p w:rsidR="003765D3" w:rsidRPr="003765D3" w:rsidRDefault="003765D3" w:rsidP="003765D3">
            <w:pPr>
              <w:spacing w:after="120"/>
              <w:jc w:val="both"/>
              <w:rPr>
                <w:rFonts w:ascii="Arial" w:hAnsi="Arial" w:cs="Arial"/>
                <w:lang w:val="el-GR"/>
              </w:rPr>
            </w:pPr>
            <w:r w:rsidRPr="003765D3">
              <w:rPr>
                <w:rFonts w:ascii="Arial" w:hAnsi="Arial" w:cs="Arial"/>
                <w:lang w:val="el-GR"/>
              </w:rPr>
              <w:t xml:space="preserve"> Συντελεστής διασποράς </w:t>
            </w:r>
            <w:proofErr w:type="spellStart"/>
            <w:r w:rsidRPr="003765D3">
              <w:rPr>
                <w:rFonts w:ascii="Arial" w:hAnsi="Arial" w:cs="Arial"/>
                <w:lang w:val="el-GR"/>
              </w:rPr>
              <w:t>cv(x</w:t>
            </w:r>
            <w:proofErr w:type="spellEnd"/>
            <w:r w:rsidRPr="003765D3">
              <w:rPr>
                <w:rFonts w:ascii="Arial" w:hAnsi="Arial" w:cs="Arial"/>
                <w:lang w:val="el-GR"/>
              </w:rPr>
              <w:t>)</w:t>
            </w:r>
          </w:p>
        </w:tc>
        <w:tc>
          <w:tcPr>
            <w:tcW w:w="993" w:type="dxa"/>
          </w:tcPr>
          <w:p w:rsidR="003765D3" w:rsidRPr="003765D3" w:rsidRDefault="003765D3" w:rsidP="003765D3">
            <w:pPr>
              <w:spacing w:after="120"/>
              <w:jc w:val="both"/>
              <w:rPr>
                <w:rFonts w:ascii="Arial" w:hAnsi="Arial" w:cs="Arial"/>
                <w:lang w:val="el-GR"/>
              </w:rPr>
            </w:pPr>
            <w:r w:rsidRPr="003765D3">
              <w:rPr>
                <w:rFonts w:ascii="Arial" w:hAnsi="Arial" w:cs="Arial"/>
                <w:lang w:val="el-GR"/>
              </w:rPr>
              <w:t>Μέση σύνταξη</w:t>
            </w:r>
          </w:p>
        </w:tc>
        <w:tc>
          <w:tcPr>
            <w:tcW w:w="770" w:type="dxa"/>
          </w:tcPr>
          <w:p w:rsidR="003765D3" w:rsidRPr="003765D3" w:rsidRDefault="003765D3" w:rsidP="003765D3">
            <w:pPr>
              <w:spacing w:after="120"/>
              <w:jc w:val="both"/>
              <w:rPr>
                <w:rFonts w:ascii="Arial" w:hAnsi="Arial" w:cs="Arial"/>
                <w:lang w:val="el-GR"/>
              </w:rPr>
            </w:pPr>
          </w:p>
          <w:p w:rsidR="003765D3" w:rsidRPr="003765D3" w:rsidRDefault="003765D3" w:rsidP="003765D3">
            <w:pPr>
              <w:spacing w:after="120"/>
              <w:jc w:val="both"/>
              <w:rPr>
                <w:rFonts w:ascii="Arial" w:hAnsi="Arial" w:cs="Arial"/>
                <w:lang w:val="el-GR"/>
              </w:rPr>
            </w:pPr>
            <w:proofErr w:type="spellStart"/>
            <w:r w:rsidRPr="003765D3">
              <w:rPr>
                <w:rFonts w:ascii="Arial" w:hAnsi="Arial" w:cs="Arial"/>
                <w:lang w:val="el-GR"/>
              </w:rPr>
              <w:t>q</w:t>
            </w:r>
            <w:r w:rsidRPr="003765D3">
              <w:rPr>
                <w:rFonts w:ascii="Arial" w:hAnsi="Arial" w:cs="Arial"/>
                <w:vertAlign w:val="subscript"/>
                <w:lang w:val="el-GR"/>
              </w:rPr>
              <w:t>x</w:t>
            </w:r>
            <w:r w:rsidRPr="003765D3">
              <w:rPr>
                <w:rFonts w:ascii="Arial" w:hAnsi="Arial" w:cs="Arial"/>
                <w:vertAlign w:val="superscript"/>
                <w:lang w:val="el-GR"/>
              </w:rPr>
              <w:t>p</w:t>
            </w:r>
            <w:proofErr w:type="spellEnd"/>
          </w:p>
        </w:tc>
      </w:tr>
      <w:tr w:rsidR="003765D3" w:rsidRPr="003765D3" w:rsidTr="003765D3">
        <w:trPr>
          <w:jc w:val="center"/>
        </w:trPr>
        <w:tc>
          <w:tcPr>
            <w:tcW w:w="1439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970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014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567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3765D3">
              <w:rPr>
                <w:rFonts w:ascii="Arial" w:hAnsi="Arial" w:cs="Arial"/>
                <w:lang w:val="el-GR"/>
              </w:rPr>
              <w:t>0</w:t>
            </w:r>
          </w:p>
        </w:tc>
        <w:tc>
          <w:tcPr>
            <w:tcW w:w="567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3765D3">
              <w:rPr>
                <w:rFonts w:ascii="Arial" w:hAnsi="Arial" w:cs="Arial"/>
                <w:lang w:val="el-GR"/>
              </w:rPr>
              <w:t>1</w:t>
            </w:r>
          </w:p>
        </w:tc>
        <w:tc>
          <w:tcPr>
            <w:tcW w:w="567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3765D3">
              <w:rPr>
                <w:rFonts w:ascii="Arial" w:hAnsi="Arial" w:cs="Arial"/>
                <w:lang w:val="el-GR"/>
              </w:rPr>
              <w:t>14</w:t>
            </w:r>
          </w:p>
        </w:tc>
        <w:tc>
          <w:tcPr>
            <w:tcW w:w="622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3765D3">
              <w:rPr>
                <w:rFonts w:ascii="Arial" w:hAnsi="Arial" w:cs="Arial"/>
                <w:lang w:val="el-GR"/>
              </w:rPr>
              <w:t>15</w:t>
            </w:r>
          </w:p>
        </w:tc>
        <w:tc>
          <w:tcPr>
            <w:tcW w:w="992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417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3765D3">
              <w:rPr>
                <w:rFonts w:ascii="Arial" w:hAnsi="Arial" w:cs="Arial"/>
                <w:lang w:val="el-GR"/>
              </w:rPr>
              <w:t>0,2</w:t>
            </w:r>
          </w:p>
        </w:tc>
        <w:tc>
          <w:tcPr>
            <w:tcW w:w="993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770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3765D3" w:rsidRPr="003765D3" w:rsidTr="003765D3">
        <w:trPr>
          <w:jc w:val="center"/>
        </w:trPr>
        <w:tc>
          <w:tcPr>
            <w:tcW w:w="1439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3765D3">
              <w:rPr>
                <w:rFonts w:ascii="Arial" w:hAnsi="Arial" w:cs="Arial"/>
                <w:lang w:val="el-GR"/>
              </w:rPr>
              <w:t>Ενεργός</w:t>
            </w:r>
          </w:p>
        </w:tc>
        <w:tc>
          <w:tcPr>
            <w:tcW w:w="970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3765D3">
              <w:rPr>
                <w:rFonts w:ascii="Arial" w:hAnsi="Arial" w:cs="Arial"/>
                <w:lang w:val="el-GR"/>
              </w:rPr>
              <w:t>15</w:t>
            </w:r>
          </w:p>
        </w:tc>
        <w:tc>
          <w:tcPr>
            <w:tcW w:w="1014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567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3765D3">
              <w:rPr>
                <w:rFonts w:ascii="Arial" w:hAnsi="Arial" w:cs="Arial"/>
                <w:lang w:val="el-GR"/>
              </w:rPr>
              <w:t>100</w:t>
            </w:r>
          </w:p>
        </w:tc>
        <w:tc>
          <w:tcPr>
            <w:tcW w:w="567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567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622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992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3765D3">
              <w:rPr>
                <w:rFonts w:ascii="Arial" w:hAnsi="Arial" w:cs="Arial"/>
                <w:lang w:val="el-GR"/>
              </w:rPr>
              <w:t>4.000</w:t>
            </w:r>
          </w:p>
        </w:tc>
        <w:tc>
          <w:tcPr>
            <w:tcW w:w="1417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993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770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3765D3" w:rsidRPr="003765D3" w:rsidTr="003765D3">
        <w:trPr>
          <w:jc w:val="center"/>
        </w:trPr>
        <w:tc>
          <w:tcPr>
            <w:tcW w:w="1439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3765D3">
              <w:rPr>
                <w:rFonts w:ascii="Arial" w:hAnsi="Arial" w:cs="Arial"/>
                <w:lang w:val="el-GR"/>
              </w:rPr>
              <w:t>Ενεργός</w:t>
            </w:r>
          </w:p>
        </w:tc>
        <w:tc>
          <w:tcPr>
            <w:tcW w:w="970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3765D3">
              <w:rPr>
                <w:rFonts w:ascii="Arial" w:hAnsi="Arial" w:cs="Arial"/>
                <w:lang w:val="el-GR"/>
              </w:rPr>
              <w:t>16</w:t>
            </w:r>
          </w:p>
        </w:tc>
        <w:tc>
          <w:tcPr>
            <w:tcW w:w="1014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567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567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567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622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992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417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993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770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3765D3" w:rsidRPr="003765D3" w:rsidTr="003765D3">
        <w:trPr>
          <w:jc w:val="center"/>
        </w:trPr>
        <w:tc>
          <w:tcPr>
            <w:tcW w:w="1439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3765D3">
              <w:rPr>
                <w:rFonts w:ascii="Arial" w:hAnsi="Arial" w:cs="Arial"/>
                <w:lang w:val="el-GR"/>
              </w:rPr>
              <w:t>Ενεργός</w:t>
            </w:r>
          </w:p>
        </w:tc>
        <w:tc>
          <w:tcPr>
            <w:tcW w:w="970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3765D3">
              <w:rPr>
                <w:rFonts w:ascii="Arial" w:hAnsi="Arial" w:cs="Arial"/>
                <w:lang w:val="el-GR"/>
              </w:rPr>
              <w:t>60</w:t>
            </w:r>
          </w:p>
        </w:tc>
        <w:tc>
          <w:tcPr>
            <w:tcW w:w="1014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567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567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567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3765D3">
              <w:rPr>
                <w:rFonts w:ascii="Arial" w:hAnsi="Arial" w:cs="Arial"/>
                <w:lang w:val="el-GR"/>
              </w:rPr>
              <w:t>200</w:t>
            </w:r>
          </w:p>
        </w:tc>
        <w:tc>
          <w:tcPr>
            <w:tcW w:w="622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3765D3">
              <w:rPr>
                <w:rFonts w:ascii="Arial" w:hAnsi="Arial" w:cs="Arial"/>
                <w:lang w:val="el-GR"/>
              </w:rPr>
              <w:t>100</w:t>
            </w:r>
          </w:p>
        </w:tc>
        <w:tc>
          <w:tcPr>
            <w:tcW w:w="992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3765D3">
              <w:rPr>
                <w:rFonts w:ascii="Arial" w:hAnsi="Arial" w:cs="Arial"/>
                <w:lang w:val="el-GR"/>
              </w:rPr>
              <w:t>8.000</w:t>
            </w:r>
          </w:p>
        </w:tc>
        <w:tc>
          <w:tcPr>
            <w:tcW w:w="1417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3765D3">
              <w:rPr>
                <w:rFonts w:ascii="Arial" w:hAnsi="Arial" w:cs="Arial"/>
                <w:lang w:val="el-GR"/>
              </w:rPr>
              <w:t>0,9</w:t>
            </w:r>
          </w:p>
        </w:tc>
        <w:tc>
          <w:tcPr>
            <w:tcW w:w="993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770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3765D3" w:rsidRPr="003765D3" w:rsidTr="003765D3">
        <w:trPr>
          <w:jc w:val="center"/>
        </w:trPr>
        <w:tc>
          <w:tcPr>
            <w:tcW w:w="1439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3765D3">
              <w:rPr>
                <w:rFonts w:ascii="Arial" w:hAnsi="Arial" w:cs="Arial"/>
                <w:lang w:val="el-GR"/>
              </w:rPr>
              <w:t>Ενεργός</w:t>
            </w:r>
          </w:p>
        </w:tc>
        <w:tc>
          <w:tcPr>
            <w:tcW w:w="970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3765D3">
              <w:rPr>
                <w:rFonts w:ascii="Arial" w:hAnsi="Arial" w:cs="Arial"/>
                <w:lang w:val="el-GR"/>
              </w:rPr>
              <w:t>61</w:t>
            </w:r>
          </w:p>
        </w:tc>
        <w:tc>
          <w:tcPr>
            <w:tcW w:w="1014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567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567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567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622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992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417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993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770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3765D3" w:rsidRPr="003765D3" w:rsidTr="003765D3">
        <w:trPr>
          <w:jc w:val="center"/>
        </w:trPr>
        <w:tc>
          <w:tcPr>
            <w:tcW w:w="1439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3765D3">
              <w:rPr>
                <w:rFonts w:ascii="Arial" w:hAnsi="Arial" w:cs="Arial"/>
                <w:lang w:val="el-GR"/>
              </w:rPr>
              <w:t>Συνταξιούχος γήρατος</w:t>
            </w:r>
          </w:p>
        </w:tc>
        <w:tc>
          <w:tcPr>
            <w:tcW w:w="970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3765D3">
              <w:rPr>
                <w:rFonts w:ascii="Arial" w:hAnsi="Arial" w:cs="Arial"/>
                <w:lang w:val="el-GR"/>
              </w:rPr>
              <w:t>70</w:t>
            </w:r>
          </w:p>
        </w:tc>
        <w:tc>
          <w:tcPr>
            <w:tcW w:w="1014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3765D3">
              <w:rPr>
                <w:rFonts w:ascii="Arial" w:hAnsi="Arial" w:cs="Arial"/>
                <w:lang w:val="el-GR"/>
              </w:rPr>
              <w:t>100</w:t>
            </w:r>
          </w:p>
        </w:tc>
        <w:tc>
          <w:tcPr>
            <w:tcW w:w="567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567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567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622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992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417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993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3765D3">
              <w:rPr>
                <w:rFonts w:ascii="Arial" w:hAnsi="Arial" w:cs="Arial"/>
                <w:lang w:val="el-GR"/>
              </w:rPr>
              <w:t>1.000</w:t>
            </w:r>
          </w:p>
        </w:tc>
        <w:tc>
          <w:tcPr>
            <w:tcW w:w="770" w:type="dxa"/>
            <w:vAlign w:val="center"/>
          </w:tcPr>
          <w:p w:rsidR="003765D3" w:rsidRPr="003765D3" w:rsidRDefault="003765D3" w:rsidP="003765D3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3765D3">
              <w:rPr>
                <w:rFonts w:ascii="Arial" w:hAnsi="Arial" w:cs="Arial"/>
                <w:lang w:val="el-GR"/>
              </w:rPr>
              <w:t>0,985</w:t>
            </w:r>
          </w:p>
        </w:tc>
      </w:tr>
    </w:tbl>
    <w:p w:rsidR="003765D3" w:rsidRPr="003765D3" w:rsidRDefault="003765D3" w:rsidP="003765D3">
      <w:pPr>
        <w:spacing w:after="120"/>
        <w:jc w:val="both"/>
        <w:rPr>
          <w:rFonts w:ascii="Arial" w:hAnsi="Arial" w:cs="Arial"/>
          <w:lang w:val="el-GR"/>
        </w:rPr>
      </w:pPr>
    </w:p>
    <w:p w:rsidR="003765D3" w:rsidRPr="003765D3" w:rsidRDefault="003765D3" w:rsidP="003765D3">
      <w:pPr>
        <w:spacing w:after="120"/>
        <w:jc w:val="both"/>
        <w:rPr>
          <w:rFonts w:ascii="Arial" w:hAnsi="Arial" w:cs="Arial"/>
          <w:lang w:val="el-GR"/>
        </w:rPr>
      </w:pPr>
      <w:r w:rsidRPr="003765D3">
        <w:rPr>
          <w:rFonts w:ascii="Arial" w:hAnsi="Arial" w:cs="Arial"/>
          <w:lang w:val="el-GR"/>
        </w:rPr>
        <w:t>Όλοι όσοι θεμελιώνουν συνταξιοδοτικό δικαίωμα για μειωμένη ή πλήρη σύνταξη μέσα στο 2011 αποχωρούν το 2012. Το 30% των ενεργών αμείβονται βάσει του χαμηλού μισθολογικού κλιμακίου, το 40% βάσει του μεσαίου μισθολογικού κλιμακίου και το 30% βάσει του υψηλού. Φ(-1,117)=0,1319, Φ(-0,069)= 0,4727, Φ</w:t>
      </w:r>
      <w:r w:rsidRPr="003765D3">
        <w:rPr>
          <w:rFonts w:ascii="Arial" w:hAnsi="Arial" w:cs="Arial"/>
          <w:vertAlign w:val="superscript"/>
          <w:lang w:val="el-GR"/>
        </w:rPr>
        <w:t>-1</w:t>
      </w:r>
      <w:r w:rsidRPr="003765D3">
        <w:rPr>
          <w:rFonts w:ascii="Arial" w:hAnsi="Arial" w:cs="Arial"/>
          <w:lang w:val="el-GR"/>
        </w:rPr>
        <w:t>(0,3)= -0,5244 και Φ</w:t>
      </w:r>
      <w:r w:rsidRPr="003765D3">
        <w:rPr>
          <w:rFonts w:ascii="Arial" w:hAnsi="Arial" w:cs="Arial"/>
          <w:vertAlign w:val="superscript"/>
          <w:lang w:val="el-GR"/>
        </w:rPr>
        <w:t>-1</w:t>
      </w:r>
      <w:r w:rsidRPr="003765D3">
        <w:rPr>
          <w:rFonts w:ascii="Arial" w:hAnsi="Arial" w:cs="Arial"/>
          <w:lang w:val="el-GR"/>
        </w:rPr>
        <w:t>(0,7)= 0,5244, όπου Φ είναι η συνάρτηση κατανομής της τυπικής κανονικής κατανομής. Η εισφορά είναι 20% πάνω στο μισθό με ανώτατο όριο τις 6.000 ευρώ.</w:t>
      </w:r>
    </w:p>
    <w:p w:rsidR="003765D3" w:rsidRPr="003765D3" w:rsidRDefault="003765D3" w:rsidP="003765D3">
      <w:pPr>
        <w:spacing w:after="120"/>
        <w:jc w:val="both"/>
        <w:rPr>
          <w:rFonts w:ascii="Arial" w:hAnsi="Arial" w:cs="Arial"/>
          <w:lang w:val="el-GR"/>
        </w:rPr>
      </w:pPr>
      <w:r w:rsidRPr="003765D3">
        <w:rPr>
          <w:rFonts w:ascii="Arial" w:hAnsi="Arial" w:cs="Arial"/>
          <w:lang w:val="el-GR"/>
        </w:rPr>
        <w:t>α) (2 βαθμοί) Να διεξαχθεί η δημογραφική προβολή των ενεργών ανά προϋπηρεσία και των συνταξιούχων στο κλείσιμο του έτους t+1 = 2012.</w:t>
      </w:r>
    </w:p>
    <w:p w:rsidR="003765D3" w:rsidRPr="003765D3" w:rsidRDefault="003765D3" w:rsidP="003765D3">
      <w:pPr>
        <w:spacing w:after="120"/>
        <w:jc w:val="both"/>
        <w:rPr>
          <w:rFonts w:ascii="Arial" w:hAnsi="Arial" w:cs="Arial"/>
          <w:lang w:val="el-GR"/>
        </w:rPr>
      </w:pPr>
      <w:r w:rsidRPr="003765D3">
        <w:rPr>
          <w:rFonts w:ascii="Arial" w:hAnsi="Arial" w:cs="Arial"/>
          <w:lang w:val="el-GR"/>
        </w:rPr>
        <w:t>β) (2 βαθμοί) Να υπολογισθεί η συνολική εισφορά το έτος t+1 = 2012.</w:t>
      </w:r>
    </w:p>
    <w:p w:rsidR="003765D3" w:rsidRPr="003765D3" w:rsidRDefault="003765D3" w:rsidP="003765D3">
      <w:pPr>
        <w:spacing w:after="120"/>
        <w:jc w:val="both"/>
        <w:rPr>
          <w:rFonts w:ascii="Arial" w:hAnsi="Arial" w:cs="Arial"/>
          <w:lang w:val="el-GR"/>
        </w:rPr>
      </w:pPr>
      <w:r w:rsidRPr="003765D3">
        <w:rPr>
          <w:rFonts w:ascii="Arial" w:hAnsi="Arial" w:cs="Arial"/>
          <w:lang w:val="el-GR"/>
        </w:rPr>
        <w:t>γ) (6 βαθμοί) Να υπολογισθεί η συνολική δαπάνη κύριας σύνταξης καθώς και το έλλειμμα ή πλεόνασμα του ταμείου για το έτος t+1 = 2012.</w:t>
      </w:r>
    </w:p>
    <w:p w:rsidR="003765D3" w:rsidRPr="003765D3" w:rsidRDefault="003765D3" w:rsidP="003765D3">
      <w:pPr>
        <w:spacing w:after="120"/>
        <w:jc w:val="both"/>
        <w:rPr>
          <w:rFonts w:ascii="Arial" w:hAnsi="Arial" w:cs="Arial"/>
          <w:lang w:val="el-GR"/>
        </w:rPr>
      </w:pPr>
    </w:p>
    <w:p w:rsidR="003765D3" w:rsidRPr="003765D3" w:rsidRDefault="003765D3" w:rsidP="003765D3">
      <w:pPr>
        <w:jc w:val="both"/>
        <w:rPr>
          <w:rFonts w:ascii="Arial" w:hAnsi="Arial" w:cs="Arial"/>
          <w:lang w:val="el-GR"/>
        </w:rPr>
      </w:pPr>
    </w:p>
    <w:p w:rsidR="003765D3" w:rsidRPr="003765D3" w:rsidRDefault="003765D3" w:rsidP="003765D3">
      <w:pPr>
        <w:spacing w:after="1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ΘΕΜΑ </w:t>
      </w:r>
      <w:r>
        <w:rPr>
          <w:rFonts w:ascii="Arial" w:hAnsi="Arial" w:cs="Arial"/>
          <w:b/>
          <w:lang w:val="en-US"/>
        </w:rPr>
        <w:t>7</w:t>
      </w:r>
      <w:r w:rsidRPr="003765D3">
        <w:rPr>
          <w:rFonts w:ascii="Arial" w:hAnsi="Arial" w:cs="Arial"/>
          <w:b/>
          <w:lang w:val="el-GR"/>
        </w:rPr>
        <w:t xml:space="preserve"> </w:t>
      </w:r>
      <w:r w:rsidRPr="001E1C7D">
        <w:rPr>
          <w:rFonts w:ascii="Arial" w:hAnsi="Arial" w:cs="Arial"/>
          <w:lang w:val="el-GR"/>
        </w:rPr>
        <w:t>(</w:t>
      </w:r>
      <w:r w:rsidRPr="001E1C7D">
        <w:rPr>
          <w:rFonts w:ascii="Arial" w:hAnsi="Arial" w:cs="Arial"/>
          <w:lang w:val="en-US"/>
        </w:rPr>
        <w:t>4</w:t>
      </w:r>
      <w:r w:rsidRPr="001E1C7D">
        <w:rPr>
          <w:rFonts w:ascii="Arial" w:hAnsi="Arial" w:cs="Arial"/>
          <w:lang w:val="el-GR"/>
        </w:rPr>
        <w:t xml:space="preserve"> Βαθμοί)</w:t>
      </w:r>
    </w:p>
    <w:p w:rsidR="003765D3" w:rsidRPr="003765D3" w:rsidRDefault="003765D3" w:rsidP="003765D3">
      <w:pPr>
        <w:jc w:val="both"/>
        <w:rPr>
          <w:rFonts w:ascii="Arial" w:hAnsi="Arial" w:cs="Arial"/>
          <w:lang w:val="en-US"/>
        </w:rPr>
      </w:pPr>
    </w:p>
    <w:p w:rsidR="003765D3" w:rsidRPr="003765D3" w:rsidRDefault="003765D3" w:rsidP="003765D3">
      <w:pPr>
        <w:pStyle w:val="BodyText"/>
        <w:jc w:val="both"/>
        <w:rPr>
          <w:rFonts w:ascii="Arial" w:hAnsi="Arial" w:cs="Arial"/>
          <w:lang w:val="el-GR"/>
        </w:rPr>
      </w:pPr>
      <w:r w:rsidRPr="003765D3">
        <w:rPr>
          <w:rFonts w:ascii="Arial" w:hAnsi="Arial" w:cs="Arial"/>
          <w:lang w:val="el-GR"/>
        </w:rPr>
        <w:t>Για ένα συνταξιοδοτικό πλάνο που αρχίζει να λειτουργεί την 1/1/2000 η παροχή κανονικής αποχώρησης στην ηλικία των 65 ετών είναι το 50% του μέσου τελικού μισθού των τριών τελευταίων χρόνων προ της αποχώρησης. Ακολουθείται η μέθοδος Κανονικής Ηλικίας</w:t>
      </w:r>
      <w:r>
        <w:rPr>
          <w:rFonts w:ascii="Arial" w:hAnsi="Arial" w:cs="Arial"/>
          <w:lang w:val="en-US"/>
        </w:rPr>
        <w:t xml:space="preserve"> </w:t>
      </w:r>
      <w:r w:rsidRPr="003765D3">
        <w:rPr>
          <w:rFonts w:ascii="Arial" w:hAnsi="Arial" w:cs="Arial"/>
          <w:lang w:val="el-GR"/>
        </w:rPr>
        <w:t>Ει</w:t>
      </w:r>
      <w:r>
        <w:rPr>
          <w:rFonts w:ascii="Arial" w:hAnsi="Arial" w:cs="Arial"/>
          <w:lang w:val="el-GR"/>
        </w:rPr>
        <w:t>σόδου</w:t>
      </w:r>
      <w:r w:rsidRPr="003765D3">
        <w:rPr>
          <w:rFonts w:ascii="Arial" w:hAnsi="Arial" w:cs="Arial"/>
          <w:lang w:val="el-GR"/>
        </w:rPr>
        <w:t xml:space="preserve">  (</w:t>
      </w:r>
      <w:proofErr w:type="spellStart"/>
      <w:r w:rsidRPr="003765D3">
        <w:rPr>
          <w:rFonts w:ascii="Arial" w:hAnsi="Arial" w:cs="Arial"/>
          <w:lang w:val="el-GR"/>
        </w:rPr>
        <w:t>Entry</w:t>
      </w:r>
      <w:proofErr w:type="spellEnd"/>
      <w:r w:rsidRPr="003765D3">
        <w:rPr>
          <w:rFonts w:ascii="Arial" w:hAnsi="Arial" w:cs="Arial"/>
          <w:lang w:val="el-GR"/>
        </w:rPr>
        <w:t xml:space="preserve"> </w:t>
      </w:r>
      <w:proofErr w:type="spellStart"/>
      <w:r w:rsidRPr="003765D3">
        <w:rPr>
          <w:rFonts w:ascii="Arial" w:hAnsi="Arial" w:cs="Arial"/>
          <w:lang w:val="el-GR"/>
        </w:rPr>
        <w:t>Age</w:t>
      </w:r>
      <w:proofErr w:type="spellEnd"/>
      <w:r w:rsidRPr="003765D3">
        <w:rPr>
          <w:rFonts w:ascii="Arial" w:hAnsi="Arial" w:cs="Arial"/>
          <w:lang w:val="el-GR"/>
        </w:rPr>
        <w:t xml:space="preserve"> </w:t>
      </w:r>
      <w:proofErr w:type="spellStart"/>
      <w:r w:rsidRPr="003765D3">
        <w:rPr>
          <w:rFonts w:ascii="Arial" w:hAnsi="Arial" w:cs="Arial"/>
          <w:lang w:val="el-GR"/>
        </w:rPr>
        <w:t>Νormal</w:t>
      </w:r>
      <w:proofErr w:type="spellEnd"/>
      <w:r w:rsidRPr="003765D3">
        <w:rPr>
          <w:rFonts w:ascii="Arial" w:hAnsi="Arial" w:cs="Arial"/>
          <w:lang w:val="el-GR"/>
        </w:rPr>
        <w:t xml:space="preserve">) το τεχνικό επιτόκιο είναι 7%, η αύξηση μισθών είναι 6% και η ράντα  </w:t>
      </w:r>
      <w:r w:rsidRPr="003765D3">
        <w:rPr>
          <w:rFonts w:ascii="Arial" w:hAnsi="Arial" w:cs="Arial"/>
          <w:noProof/>
          <w:position w:val="-6"/>
          <w:lang w:val="el-GR" w:eastAsia="el-GR"/>
        </w:rPr>
        <w:drawing>
          <wp:inline distT="0" distB="0" distL="0" distR="0" wp14:anchorId="1ECA61AB" wp14:editId="5511B16A">
            <wp:extent cx="295275" cy="304800"/>
            <wp:effectExtent l="0" t="0" r="9525" b="0"/>
            <wp:docPr id="1" name="Picture 1" descr="cid:image003.png@01CE03C1.A7308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id:image003.png@01CE03C1.A730877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5D3">
        <w:rPr>
          <w:rFonts w:ascii="Arial" w:hAnsi="Arial" w:cs="Arial"/>
          <w:lang w:val="el-GR"/>
        </w:rPr>
        <w:t xml:space="preserve">= 115/12. Για το μοναδικό </w:t>
      </w:r>
      <w:r>
        <w:rPr>
          <w:rFonts w:ascii="Arial" w:hAnsi="Arial" w:cs="Arial"/>
          <w:lang w:val="el-GR"/>
        </w:rPr>
        <w:t>ασφαλισμένο</w:t>
      </w:r>
      <w:r w:rsidRPr="003765D3">
        <w:rPr>
          <w:rFonts w:ascii="Arial" w:hAnsi="Arial" w:cs="Arial"/>
          <w:lang w:val="el-GR"/>
        </w:rPr>
        <w:t xml:space="preserve"> του πλάνου η ηλικία του κατά την έναρξη του πλάνου είναι 50 ετών η ηλικία πρόσληψης </w:t>
      </w:r>
      <w:r>
        <w:rPr>
          <w:rFonts w:ascii="Arial" w:hAnsi="Arial" w:cs="Arial"/>
          <w:lang w:val="el-GR"/>
        </w:rPr>
        <w:t xml:space="preserve">του </w:t>
      </w:r>
      <w:r w:rsidRPr="003765D3">
        <w:rPr>
          <w:rFonts w:ascii="Arial" w:hAnsi="Arial" w:cs="Arial"/>
          <w:lang w:val="el-GR"/>
        </w:rPr>
        <w:t>είναι 45</w:t>
      </w:r>
      <w:r>
        <w:rPr>
          <w:rFonts w:ascii="Arial" w:hAnsi="Arial" w:cs="Arial"/>
          <w:lang w:val="el-GR"/>
        </w:rPr>
        <w:t xml:space="preserve"> και</w:t>
      </w:r>
      <w:r w:rsidRPr="003765D3">
        <w:rPr>
          <w:rFonts w:ascii="Arial" w:hAnsi="Arial" w:cs="Arial"/>
          <w:lang w:val="el-GR"/>
        </w:rPr>
        <w:t xml:space="preserve"> ο μισθός του το 2000 είναι €24.000,00. Η εισφορά που πληρώθηκε στις 31/12/2000 είναι €7.000,00 και η μη χρηματοδοτημένη αναλογιστική υποχρέωση κατά την 1/1/2001 είναι $23.000,00. Δίνονται:  </w:t>
      </w:r>
      <w:r w:rsidRPr="003765D3">
        <w:rPr>
          <w:rFonts w:ascii="Arial" w:hAnsi="Arial" w:cs="Arial"/>
          <w:i/>
          <w:iCs/>
          <w:lang w:val="el-GR"/>
        </w:rPr>
        <w:t>a45:20|s=18,32</w:t>
      </w:r>
      <w:r w:rsidRPr="003765D3">
        <w:rPr>
          <w:rFonts w:ascii="Arial" w:hAnsi="Arial" w:cs="Arial"/>
          <w:lang w:val="el-GR"/>
        </w:rPr>
        <w:t xml:space="preserve">, </w:t>
      </w:r>
      <w:r w:rsidRPr="003765D3">
        <w:rPr>
          <w:rFonts w:ascii="Arial" w:hAnsi="Arial" w:cs="Arial"/>
          <w:i/>
          <w:iCs/>
          <w:lang w:val="el-GR"/>
        </w:rPr>
        <w:t>a45:5|s=4,907</w:t>
      </w:r>
      <w:r w:rsidRPr="003765D3">
        <w:rPr>
          <w:rFonts w:ascii="Arial" w:hAnsi="Arial" w:cs="Arial"/>
          <w:lang w:val="el-GR"/>
        </w:rPr>
        <w:t xml:space="preserve">, </w:t>
      </w:r>
      <w:r w:rsidRPr="003765D3">
        <w:rPr>
          <w:rFonts w:ascii="Arial" w:hAnsi="Arial" w:cs="Arial"/>
          <w:i/>
          <w:iCs/>
          <w:lang w:val="el-GR"/>
        </w:rPr>
        <w:t>a50:15|s=14,057</w:t>
      </w:r>
    </w:p>
    <w:p w:rsidR="003765D3" w:rsidRDefault="003765D3" w:rsidP="003765D3">
      <w:pPr>
        <w:spacing w:after="120"/>
        <w:jc w:val="both"/>
        <w:rPr>
          <w:rFonts w:ascii="Arial" w:hAnsi="Arial" w:cs="Arial"/>
          <w:lang w:val="el-GR"/>
        </w:rPr>
      </w:pPr>
      <w:r w:rsidRPr="003765D3">
        <w:rPr>
          <w:rFonts w:ascii="Arial" w:hAnsi="Arial" w:cs="Arial"/>
          <w:lang w:val="el-GR"/>
        </w:rPr>
        <w:t xml:space="preserve">Ποια είναι η </w:t>
      </w:r>
      <w:r>
        <w:rPr>
          <w:rFonts w:ascii="Arial" w:hAnsi="Arial" w:cs="Arial"/>
          <w:lang w:val="el-GR"/>
        </w:rPr>
        <w:t xml:space="preserve">αναλογιστική </w:t>
      </w:r>
      <w:r w:rsidRPr="003765D3">
        <w:rPr>
          <w:rFonts w:ascii="Arial" w:hAnsi="Arial" w:cs="Arial"/>
          <w:lang w:val="el-GR"/>
        </w:rPr>
        <w:t xml:space="preserve">ζημία </w:t>
      </w:r>
      <w:r>
        <w:rPr>
          <w:rFonts w:ascii="Arial" w:hAnsi="Arial" w:cs="Arial"/>
          <w:lang w:val="el-GR"/>
        </w:rPr>
        <w:t xml:space="preserve">που προκύπτει </w:t>
      </w:r>
      <w:r w:rsidRPr="003765D3">
        <w:rPr>
          <w:rFonts w:ascii="Arial" w:hAnsi="Arial" w:cs="Arial"/>
          <w:lang w:val="el-GR"/>
        </w:rPr>
        <w:t xml:space="preserve">από την εμπειρία </w:t>
      </w:r>
      <w:r>
        <w:rPr>
          <w:rFonts w:ascii="Arial" w:hAnsi="Arial" w:cs="Arial"/>
          <w:lang w:val="el-GR"/>
        </w:rPr>
        <w:t>στη χρήση του 2000</w:t>
      </w:r>
      <w:r w:rsidRPr="003765D3">
        <w:rPr>
          <w:rFonts w:ascii="Arial" w:hAnsi="Arial" w:cs="Arial"/>
          <w:lang w:val="el-GR"/>
        </w:rPr>
        <w:t>;</w:t>
      </w:r>
    </w:p>
    <w:p w:rsidR="001E1C7D" w:rsidRDefault="001E1C7D" w:rsidP="003765D3">
      <w:pPr>
        <w:spacing w:after="120"/>
        <w:jc w:val="both"/>
        <w:rPr>
          <w:rFonts w:ascii="Arial" w:hAnsi="Arial" w:cs="Arial"/>
          <w:lang w:val="el-GR"/>
        </w:rPr>
      </w:pPr>
    </w:p>
    <w:p w:rsidR="001E1C7D" w:rsidRDefault="001E1C7D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br w:type="page"/>
      </w:r>
    </w:p>
    <w:p w:rsidR="001E1C7D" w:rsidRDefault="001E1C7D" w:rsidP="001E1C7D">
      <w:pPr>
        <w:spacing w:after="120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lastRenderedPageBreak/>
        <w:t>ΘΕΜΑ 8</w:t>
      </w:r>
      <w:r w:rsidRPr="003765D3">
        <w:rPr>
          <w:rFonts w:ascii="Arial" w:hAnsi="Arial" w:cs="Arial"/>
          <w:b/>
          <w:lang w:val="el-GR"/>
        </w:rPr>
        <w:t xml:space="preserve"> </w:t>
      </w:r>
      <w:r w:rsidRPr="001E1C7D">
        <w:rPr>
          <w:rFonts w:ascii="Arial" w:hAnsi="Arial" w:cs="Arial"/>
          <w:lang w:val="el-GR"/>
        </w:rPr>
        <w:t>(</w:t>
      </w:r>
      <w:r>
        <w:rPr>
          <w:rFonts w:ascii="Arial" w:hAnsi="Arial" w:cs="Arial"/>
          <w:lang w:val="el-GR"/>
        </w:rPr>
        <w:t>6</w:t>
      </w:r>
      <w:r w:rsidRPr="001E1C7D">
        <w:rPr>
          <w:rFonts w:ascii="Arial" w:hAnsi="Arial" w:cs="Arial"/>
          <w:lang w:val="el-GR"/>
        </w:rPr>
        <w:t xml:space="preserve"> Βαθμοί)</w:t>
      </w:r>
    </w:p>
    <w:p w:rsidR="00827DDB" w:rsidRDefault="00827DDB" w:rsidP="001E1C7D">
      <w:pPr>
        <w:spacing w:after="12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 συνταξιοδοτικό πλάνο όπου εφαρμόζεται η </w:t>
      </w:r>
      <w:r>
        <w:rPr>
          <w:rFonts w:ascii="Arial" w:hAnsi="Arial" w:cs="Arial"/>
          <w:lang w:val="en-US"/>
        </w:rPr>
        <w:t xml:space="preserve">Frozen Initial liability </w:t>
      </w:r>
      <w:r>
        <w:rPr>
          <w:rFonts w:ascii="Arial" w:hAnsi="Arial" w:cs="Arial"/>
          <w:lang w:val="el-GR"/>
        </w:rPr>
        <w:t>οι εισφορές των εργαζομένων αποτελούν 2% των αποδοχών τους και πληρώνονται  κατά την έναρξη του ημερολογ</w:t>
      </w:r>
      <w:r w:rsidR="0087411B">
        <w:rPr>
          <w:rFonts w:ascii="Arial" w:hAnsi="Arial" w:cs="Arial"/>
          <w:lang w:val="el-GR"/>
        </w:rPr>
        <w:t>ιακού έτους. Το επιτόκιο είναι 4</w:t>
      </w:r>
      <w:r>
        <w:rPr>
          <w:rFonts w:ascii="Arial" w:hAnsi="Arial" w:cs="Arial"/>
          <w:lang w:val="el-GR"/>
        </w:rPr>
        <w:t>% και τα αποτελέσματα της αναλογισ</w:t>
      </w:r>
      <w:r w:rsidR="0087411B">
        <w:rPr>
          <w:rFonts w:ascii="Arial" w:hAnsi="Arial" w:cs="Arial"/>
          <w:lang w:val="el-GR"/>
        </w:rPr>
        <w:t>τικής αποτίμησης την 1/1/2010 έ</w:t>
      </w:r>
      <w:r>
        <w:rPr>
          <w:rFonts w:ascii="Arial" w:hAnsi="Arial" w:cs="Arial"/>
          <w:lang w:val="el-GR"/>
        </w:rPr>
        <w:t>χουν όπως παρακάτω:</w:t>
      </w:r>
    </w:p>
    <w:p w:rsidR="00827DDB" w:rsidRDefault="00827DDB" w:rsidP="001E1C7D">
      <w:pPr>
        <w:spacing w:after="12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Παρούσα αξία μελλοντικών παροχών (συμπεριλαμβανομένης της επιστροφής εισφορών των ασφαλισμένων σε περίπτωση αποχώρησης) €2.600.000 </w:t>
      </w:r>
    </w:p>
    <w:p w:rsidR="0087411B" w:rsidRDefault="00827DDB" w:rsidP="001E1C7D">
      <w:pPr>
        <w:spacing w:after="12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Περιουσία €</w:t>
      </w:r>
      <w:r w:rsidR="0087411B">
        <w:rPr>
          <w:rFonts w:ascii="Arial" w:hAnsi="Arial" w:cs="Arial"/>
          <w:lang w:val="el-GR"/>
        </w:rPr>
        <w:t>650.000</w:t>
      </w:r>
    </w:p>
    <w:p w:rsidR="0087411B" w:rsidRDefault="0087411B" w:rsidP="001E1C7D">
      <w:pPr>
        <w:spacing w:after="12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Μη χρηματοδοτημένη αναλογιστική υποχρέωση €300.000</w:t>
      </w:r>
    </w:p>
    <w:p w:rsidR="0087411B" w:rsidRDefault="0087411B" w:rsidP="001E1C7D">
      <w:pPr>
        <w:spacing w:after="12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Παρούσα αξία μελλοντικών παροχών €12.500.000</w:t>
      </w:r>
    </w:p>
    <w:p w:rsidR="0087411B" w:rsidRDefault="0087411B" w:rsidP="001E1C7D">
      <w:pPr>
        <w:spacing w:after="12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Ετήσιες Αποδοχές €1.000.000</w:t>
      </w:r>
    </w:p>
    <w:p w:rsidR="00827DDB" w:rsidRPr="00827DDB" w:rsidRDefault="0087411B" w:rsidP="001E1C7D">
      <w:pPr>
        <w:spacing w:after="1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lang w:val="el-GR"/>
        </w:rPr>
        <w:t xml:space="preserve">Πόσο υπερβαίνει το </w:t>
      </w:r>
      <w:r w:rsidR="00827DDB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κανονικό κόστος για του εργοδότη το αντίστοιχο των εργαζομένων στις 31/12/2010; </w:t>
      </w:r>
    </w:p>
    <w:p w:rsidR="001E1C7D" w:rsidRPr="003765D3" w:rsidRDefault="001E1C7D" w:rsidP="003765D3">
      <w:pPr>
        <w:spacing w:after="120"/>
        <w:jc w:val="both"/>
        <w:rPr>
          <w:rFonts w:ascii="Arial" w:hAnsi="Arial" w:cs="Arial"/>
          <w:lang w:val="el-GR"/>
        </w:rPr>
      </w:pPr>
    </w:p>
    <w:p w:rsidR="003765D3" w:rsidRPr="003765D3" w:rsidRDefault="003765D3" w:rsidP="006B60F6">
      <w:pPr>
        <w:pStyle w:val="BodyText"/>
        <w:ind w:left="357"/>
        <w:rPr>
          <w:rFonts w:ascii="Arial" w:hAnsi="Arial" w:cs="Arial"/>
          <w:lang w:val="el-GR"/>
        </w:rPr>
      </w:pPr>
    </w:p>
    <w:sectPr w:rsidR="003765D3" w:rsidRPr="003765D3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3AF1"/>
    <w:multiLevelType w:val="hybridMultilevel"/>
    <w:tmpl w:val="D0329C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36B51"/>
    <w:multiLevelType w:val="hybridMultilevel"/>
    <w:tmpl w:val="8A5C696E"/>
    <w:lvl w:ilvl="0" w:tplc="BF080A3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F080A38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0D222B"/>
    <w:multiLevelType w:val="hybridMultilevel"/>
    <w:tmpl w:val="EA42AA1A"/>
    <w:lvl w:ilvl="0" w:tplc="BF080A38">
      <w:start w:val="1"/>
      <w:numFmt w:val="lowerRoman"/>
      <w:lvlText w:val="(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2AED0878"/>
    <w:multiLevelType w:val="hybridMultilevel"/>
    <w:tmpl w:val="3714659A"/>
    <w:lvl w:ilvl="0" w:tplc="0408001B">
      <w:start w:val="1"/>
      <w:numFmt w:val="lowerRoman"/>
      <w:lvlText w:val="%1."/>
      <w:lvlJc w:val="righ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BE57CB3"/>
    <w:multiLevelType w:val="hybridMultilevel"/>
    <w:tmpl w:val="6D024B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7B5E43"/>
    <w:multiLevelType w:val="hybridMultilevel"/>
    <w:tmpl w:val="1AF474E6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3B4A84"/>
    <w:multiLevelType w:val="hybridMultilevel"/>
    <w:tmpl w:val="6A14F328"/>
    <w:lvl w:ilvl="0" w:tplc="BF080A3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FC49F9"/>
    <w:multiLevelType w:val="hybridMultilevel"/>
    <w:tmpl w:val="4AA88BD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73D0FD3"/>
    <w:multiLevelType w:val="hybridMultilevel"/>
    <w:tmpl w:val="6AD8717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DC1BBE"/>
    <w:multiLevelType w:val="hybridMultilevel"/>
    <w:tmpl w:val="69844C60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36206"/>
    <w:multiLevelType w:val="multilevel"/>
    <w:tmpl w:val="6AD8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3357EB"/>
    <w:multiLevelType w:val="hybridMultilevel"/>
    <w:tmpl w:val="52BA3A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91BA9"/>
    <w:multiLevelType w:val="hybridMultilevel"/>
    <w:tmpl w:val="A8AA32CC"/>
    <w:lvl w:ilvl="0" w:tplc="BF080A3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EC5564"/>
    <w:multiLevelType w:val="hybridMultilevel"/>
    <w:tmpl w:val="4378C23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0"/>
  </w:num>
  <w:num w:numId="7">
    <w:abstractNumId w:val="7"/>
  </w:num>
  <w:num w:numId="8">
    <w:abstractNumId w:val="12"/>
  </w:num>
  <w:num w:numId="9">
    <w:abstractNumId w:val="2"/>
  </w:num>
  <w:num w:numId="10">
    <w:abstractNumId w:val="1"/>
  </w:num>
  <w:num w:numId="11">
    <w:abstractNumId w:val="11"/>
  </w:num>
  <w:num w:numId="12">
    <w:abstractNumId w:val="9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E0"/>
    <w:rsid w:val="0000219B"/>
    <w:rsid w:val="0001188B"/>
    <w:rsid w:val="00057D77"/>
    <w:rsid w:val="00093F69"/>
    <w:rsid w:val="000F4811"/>
    <w:rsid w:val="001112B1"/>
    <w:rsid w:val="00116B17"/>
    <w:rsid w:val="0012498E"/>
    <w:rsid w:val="00147DF9"/>
    <w:rsid w:val="00173AFA"/>
    <w:rsid w:val="00181EF4"/>
    <w:rsid w:val="001C1530"/>
    <w:rsid w:val="001D24E9"/>
    <w:rsid w:val="001D37BA"/>
    <w:rsid w:val="001D4850"/>
    <w:rsid w:val="001D6ABB"/>
    <w:rsid w:val="001E1C7D"/>
    <w:rsid w:val="001E5BEF"/>
    <w:rsid w:val="001F3C99"/>
    <w:rsid w:val="001F79AA"/>
    <w:rsid w:val="002057AD"/>
    <w:rsid w:val="00212F51"/>
    <w:rsid w:val="00213064"/>
    <w:rsid w:val="00217C6B"/>
    <w:rsid w:val="00264269"/>
    <w:rsid w:val="002912A8"/>
    <w:rsid w:val="002B7D8E"/>
    <w:rsid w:val="002C701F"/>
    <w:rsid w:val="0032012B"/>
    <w:rsid w:val="003765D3"/>
    <w:rsid w:val="00390455"/>
    <w:rsid w:val="0039268D"/>
    <w:rsid w:val="00395E27"/>
    <w:rsid w:val="003E6654"/>
    <w:rsid w:val="004206FC"/>
    <w:rsid w:val="004411EA"/>
    <w:rsid w:val="004770B9"/>
    <w:rsid w:val="00484371"/>
    <w:rsid w:val="0048543F"/>
    <w:rsid w:val="004935A5"/>
    <w:rsid w:val="004F2FC0"/>
    <w:rsid w:val="0050206C"/>
    <w:rsid w:val="0053765E"/>
    <w:rsid w:val="0055147E"/>
    <w:rsid w:val="00582A18"/>
    <w:rsid w:val="0058706E"/>
    <w:rsid w:val="005A753F"/>
    <w:rsid w:val="005B30E0"/>
    <w:rsid w:val="005B3942"/>
    <w:rsid w:val="005E275E"/>
    <w:rsid w:val="005E6FE1"/>
    <w:rsid w:val="00622352"/>
    <w:rsid w:val="00624634"/>
    <w:rsid w:val="00624ADA"/>
    <w:rsid w:val="00634CCF"/>
    <w:rsid w:val="00645425"/>
    <w:rsid w:val="00657D5A"/>
    <w:rsid w:val="006B60F6"/>
    <w:rsid w:val="006D5610"/>
    <w:rsid w:val="006D67DF"/>
    <w:rsid w:val="006D7C20"/>
    <w:rsid w:val="00700B87"/>
    <w:rsid w:val="007037E8"/>
    <w:rsid w:val="007123BF"/>
    <w:rsid w:val="00751712"/>
    <w:rsid w:val="00772F04"/>
    <w:rsid w:val="00815EF0"/>
    <w:rsid w:val="00827DDB"/>
    <w:rsid w:val="008527A6"/>
    <w:rsid w:val="0087411B"/>
    <w:rsid w:val="008853B8"/>
    <w:rsid w:val="008C28BE"/>
    <w:rsid w:val="00916BAE"/>
    <w:rsid w:val="00927649"/>
    <w:rsid w:val="0093096E"/>
    <w:rsid w:val="009322C3"/>
    <w:rsid w:val="00937ADB"/>
    <w:rsid w:val="00941DD3"/>
    <w:rsid w:val="009815B4"/>
    <w:rsid w:val="009902F8"/>
    <w:rsid w:val="00992675"/>
    <w:rsid w:val="009A58D1"/>
    <w:rsid w:val="009C37C4"/>
    <w:rsid w:val="00A50B79"/>
    <w:rsid w:val="00A827F4"/>
    <w:rsid w:val="00AC0643"/>
    <w:rsid w:val="00AF03F0"/>
    <w:rsid w:val="00B16520"/>
    <w:rsid w:val="00B24F77"/>
    <w:rsid w:val="00B26786"/>
    <w:rsid w:val="00B267DB"/>
    <w:rsid w:val="00B32CDA"/>
    <w:rsid w:val="00B459F3"/>
    <w:rsid w:val="00B778FE"/>
    <w:rsid w:val="00BA35E1"/>
    <w:rsid w:val="00BA4DAD"/>
    <w:rsid w:val="00BC56A8"/>
    <w:rsid w:val="00BC5846"/>
    <w:rsid w:val="00BD4BD3"/>
    <w:rsid w:val="00BE3A42"/>
    <w:rsid w:val="00BE6265"/>
    <w:rsid w:val="00BF3B1B"/>
    <w:rsid w:val="00C0483C"/>
    <w:rsid w:val="00C24BB7"/>
    <w:rsid w:val="00C27D0B"/>
    <w:rsid w:val="00C415D0"/>
    <w:rsid w:val="00C97055"/>
    <w:rsid w:val="00CA4F1E"/>
    <w:rsid w:val="00CA6CDA"/>
    <w:rsid w:val="00DA1AFC"/>
    <w:rsid w:val="00DD3CEB"/>
    <w:rsid w:val="00DE41A8"/>
    <w:rsid w:val="00DE474E"/>
    <w:rsid w:val="00DE4B54"/>
    <w:rsid w:val="00E0551C"/>
    <w:rsid w:val="00E52EC5"/>
    <w:rsid w:val="00E57D8A"/>
    <w:rsid w:val="00EA25F8"/>
    <w:rsid w:val="00EB6456"/>
    <w:rsid w:val="00EC3355"/>
    <w:rsid w:val="00F01A72"/>
    <w:rsid w:val="00F174E0"/>
    <w:rsid w:val="00F314ED"/>
    <w:rsid w:val="00F35D9F"/>
    <w:rsid w:val="00F42C18"/>
    <w:rsid w:val="00F44521"/>
    <w:rsid w:val="00F51949"/>
    <w:rsid w:val="00F51F54"/>
    <w:rsid w:val="00F54FE9"/>
    <w:rsid w:val="00F6136E"/>
    <w:rsid w:val="00F75E29"/>
    <w:rsid w:val="00FA4086"/>
    <w:rsid w:val="00FB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27D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table" w:styleId="TableGrid">
    <w:name w:val="Table Grid"/>
    <w:basedOn w:val="TableNormal"/>
    <w:uiPriority w:val="59"/>
    <w:rsid w:val="00CA6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24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4F77"/>
    <w:rPr>
      <w:rFonts w:ascii="Tahoma" w:hAnsi="Tahoma" w:cs="Tahoma"/>
      <w:sz w:val="16"/>
      <w:szCs w:val="16"/>
      <w:lang w:val="en-GB" w:eastAsia="zh-CN"/>
    </w:rPr>
  </w:style>
  <w:style w:type="paragraph" w:styleId="ListParagraph">
    <w:name w:val="List Paragraph"/>
    <w:basedOn w:val="Normal"/>
    <w:uiPriority w:val="34"/>
    <w:qFormat/>
    <w:rsid w:val="003765D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27D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27D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table" w:styleId="TableGrid">
    <w:name w:val="Table Grid"/>
    <w:basedOn w:val="TableNormal"/>
    <w:uiPriority w:val="59"/>
    <w:rsid w:val="00CA6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24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4F77"/>
    <w:rPr>
      <w:rFonts w:ascii="Tahoma" w:hAnsi="Tahoma" w:cs="Tahoma"/>
      <w:sz w:val="16"/>
      <w:szCs w:val="16"/>
      <w:lang w:val="en-GB" w:eastAsia="zh-CN"/>
    </w:rPr>
  </w:style>
  <w:style w:type="paragraph" w:styleId="ListParagraph">
    <w:name w:val="List Paragraph"/>
    <w:basedOn w:val="Normal"/>
    <w:uiPriority w:val="34"/>
    <w:qFormat/>
    <w:rsid w:val="003765D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27D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cid:image003.png@01CE03C1.A7308770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Θέμα 1 (4 βαθμοί)</vt:lpstr>
    </vt:vector>
  </TitlesOfParts>
  <Company>Oikonomou</Company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Θέμα 1 (4 βαθμοί)</dc:title>
  <dc:creator>Maria Economou</dc:creator>
  <cp:lastModifiedBy>Maria Economou</cp:lastModifiedBy>
  <cp:revision>2</cp:revision>
  <dcterms:created xsi:type="dcterms:W3CDTF">2013-02-07T13:47:00Z</dcterms:created>
  <dcterms:modified xsi:type="dcterms:W3CDTF">2013-02-07T13:47:00Z</dcterms:modified>
</cp:coreProperties>
</file>